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6BCF" w14:textId="77777777" w:rsidR="00AD5381" w:rsidRPr="00AD5381" w:rsidRDefault="00AD5381" w:rsidP="00AD5381">
      <w:pPr>
        <w:suppressAutoHyphens w:val="0"/>
        <w:spacing w:after="160" w:line="259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14:paraId="01D65473" w14:textId="2FE7C68F" w:rsidR="00D257E3" w:rsidRDefault="00D257E3" w:rsidP="00D257E3">
      <w:pPr>
        <w:suppressAutoHyphens w:val="0"/>
        <w:spacing w:line="259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ЗВІТ </w:t>
      </w:r>
      <w:r w:rsidR="00AD5381" w:rsidRPr="00AD5381">
        <w:rPr>
          <w:rFonts w:cs="Times New Roman"/>
          <w:b/>
          <w:bCs/>
          <w:sz w:val="28"/>
          <w:szCs w:val="28"/>
          <w:lang w:eastAsia="en-US"/>
        </w:rPr>
        <w:br/>
        <w:t xml:space="preserve">моніторингу стану виконання </w:t>
      </w:r>
      <w:r>
        <w:rPr>
          <w:rFonts w:cs="Times New Roman"/>
          <w:b/>
          <w:bCs/>
          <w:sz w:val="28"/>
          <w:szCs w:val="28"/>
          <w:lang w:eastAsia="en-US"/>
        </w:rPr>
        <w:t xml:space="preserve">за період 2020 року </w:t>
      </w:r>
      <w:r w:rsidR="00AD5381" w:rsidRPr="00AD5381">
        <w:rPr>
          <w:rFonts w:cs="Times New Roman"/>
          <w:b/>
          <w:bCs/>
          <w:sz w:val="28"/>
          <w:szCs w:val="28"/>
          <w:lang w:eastAsia="en-US"/>
        </w:rPr>
        <w:t xml:space="preserve">заходів, </w:t>
      </w:r>
    </w:p>
    <w:p w14:paraId="7041A95D" w14:textId="77777777" w:rsidR="00D257E3" w:rsidRDefault="00AD5381" w:rsidP="00D257E3">
      <w:pPr>
        <w:suppressAutoHyphens w:val="0"/>
        <w:spacing w:line="259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AD5381">
        <w:rPr>
          <w:rFonts w:cs="Times New Roman"/>
          <w:b/>
          <w:bCs/>
          <w:sz w:val="28"/>
          <w:szCs w:val="28"/>
          <w:lang w:eastAsia="en-US"/>
        </w:rPr>
        <w:t xml:space="preserve">передбачених Антикорупційною програмою Міністерства молоді та спорту України на 2020-2021 рік, </w:t>
      </w:r>
    </w:p>
    <w:p w14:paraId="09E9CD07" w14:textId="4082AD5D" w:rsidR="00AD5381" w:rsidRPr="00AD5381" w:rsidRDefault="00AD5381" w:rsidP="00D257E3">
      <w:pPr>
        <w:suppressAutoHyphens w:val="0"/>
        <w:spacing w:line="259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AD5381">
        <w:rPr>
          <w:rFonts w:cs="Times New Roman"/>
          <w:b/>
          <w:bCs/>
          <w:sz w:val="28"/>
          <w:szCs w:val="28"/>
          <w:lang w:eastAsia="en-US"/>
        </w:rPr>
        <w:t xml:space="preserve">пропозиції Комісії  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835"/>
        <w:gridCol w:w="3300"/>
        <w:gridCol w:w="1672"/>
        <w:gridCol w:w="1245"/>
        <w:gridCol w:w="2410"/>
        <w:gridCol w:w="3260"/>
      </w:tblGrid>
      <w:tr w:rsidR="00AD5381" w:rsidRPr="00AD5381" w14:paraId="20DCE6BF" w14:textId="77777777" w:rsidTr="00FB2A1B">
        <w:trPr>
          <w:trHeight w:val="210"/>
          <w:tblHeader/>
        </w:trPr>
        <w:tc>
          <w:tcPr>
            <w:tcW w:w="582" w:type="dxa"/>
            <w:shd w:val="clear" w:color="auto" w:fill="D6C1DD"/>
          </w:tcPr>
          <w:p w14:paraId="696B3D70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5" w:type="dxa"/>
            <w:shd w:val="clear" w:color="auto" w:fill="D6C1DD"/>
          </w:tcPr>
          <w:p w14:paraId="5220DEDB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Корупційний ризик</w:t>
            </w:r>
          </w:p>
        </w:tc>
        <w:tc>
          <w:tcPr>
            <w:tcW w:w="3300" w:type="dxa"/>
            <w:shd w:val="clear" w:color="auto" w:fill="D6C1DD"/>
          </w:tcPr>
          <w:p w14:paraId="52126A59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</w:p>
          <w:p w14:paraId="2786BCAA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Заходи щодо усунення корупційного ризику</w:t>
            </w:r>
          </w:p>
          <w:p w14:paraId="7700818C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D6C1DD"/>
          </w:tcPr>
          <w:p w14:paraId="6976D61D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Підрозділ, відповідальний за виконання заходу</w:t>
            </w:r>
          </w:p>
        </w:tc>
        <w:tc>
          <w:tcPr>
            <w:tcW w:w="1245" w:type="dxa"/>
            <w:shd w:val="clear" w:color="auto" w:fill="D6C1DD"/>
          </w:tcPr>
          <w:p w14:paraId="0F00F2ED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</w:p>
          <w:p w14:paraId="32742027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Строк виконання заходів</w:t>
            </w:r>
          </w:p>
        </w:tc>
        <w:tc>
          <w:tcPr>
            <w:tcW w:w="2410" w:type="dxa"/>
            <w:shd w:val="clear" w:color="auto" w:fill="D6C1DD"/>
          </w:tcPr>
          <w:p w14:paraId="2C02388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</w:p>
          <w:p w14:paraId="6C3F945E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Вжиті заходи</w:t>
            </w:r>
          </w:p>
        </w:tc>
        <w:tc>
          <w:tcPr>
            <w:tcW w:w="3260" w:type="dxa"/>
            <w:shd w:val="clear" w:color="auto" w:fill="D6C1DD"/>
          </w:tcPr>
          <w:p w14:paraId="5E2BC79E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</w:p>
          <w:p w14:paraId="5095E0C6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Пропозиції комісії</w:t>
            </w:r>
          </w:p>
        </w:tc>
      </w:tr>
    </w:tbl>
    <w:p w14:paraId="558CE68E" w14:textId="77777777" w:rsidR="00AD5381" w:rsidRPr="00AD5381" w:rsidRDefault="00AD5381" w:rsidP="00AD5381">
      <w:pPr>
        <w:suppressAutoHyphens w:val="0"/>
        <w:spacing w:line="259" w:lineRule="auto"/>
        <w:rPr>
          <w:rFonts w:asciiTheme="minorHAnsi" w:hAnsiTheme="minorHAnsi"/>
          <w:sz w:val="6"/>
          <w:szCs w:val="6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835"/>
        <w:gridCol w:w="3300"/>
        <w:gridCol w:w="1672"/>
        <w:gridCol w:w="1245"/>
        <w:gridCol w:w="2410"/>
        <w:gridCol w:w="3260"/>
      </w:tblGrid>
      <w:tr w:rsidR="00AD5381" w:rsidRPr="00AD5381" w14:paraId="44CABFFE" w14:textId="77777777" w:rsidTr="00FB2A1B">
        <w:trPr>
          <w:trHeight w:val="154"/>
          <w:tblHeader/>
        </w:trPr>
        <w:tc>
          <w:tcPr>
            <w:tcW w:w="582" w:type="dxa"/>
            <w:shd w:val="clear" w:color="auto" w:fill="D6C1DD"/>
          </w:tcPr>
          <w:p w14:paraId="1975C622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bookmarkStart w:id="0" w:name="_Hlk45704821"/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D6C1DD"/>
          </w:tcPr>
          <w:p w14:paraId="563EB315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0" w:type="dxa"/>
            <w:shd w:val="clear" w:color="auto" w:fill="D6C1DD"/>
          </w:tcPr>
          <w:p w14:paraId="3E691754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D6C1DD"/>
          </w:tcPr>
          <w:p w14:paraId="60B0BE2A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5" w:type="dxa"/>
            <w:shd w:val="clear" w:color="auto" w:fill="D6C1DD"/>
          </w:tcPr>
          <w:p w14:paraId="777C4A7D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D6C1DD"/>
          </w:tcPr>
          <w:p w14:paraId="76429990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D6C1DD"/>
          </w:tcPr>
          <w:p w14:paraId="740A28C3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AD5381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AD5381" w:rsidRPr="00AD5381" w14:paraId="616146EC" w14:textId="77777777" w:rsidTr="00FB2A1B">
        <w:trPr>
          <w:trHeight w:val="300"/>
        </w:trPr>
        <w:tc>
          <w:tcPr>
            <w:tcW w:w="582" w:type="dxa"/>
          </w:tcPr>
          <w:p w14:paraId="3134568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1.</w:t>
            </w:r>
          </w:p>
        </w:tc>
        <w:tc>
          <w:tcPr>
            <w:tcW w:w="2835" w:type="dxa"/>
          </w:tcPr>
          <w:p w14:paraId="3FE952E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Недосконала процедура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 відповідно до Порядку, затвердженого постановою Кабінету Міністрів України від             12 жовтня 2011 року        № 1049.</w:t>
            </w:r>
          </w:p>
          <w:p w14:paraId="751E9FDD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300" w:type="dxa"/>
          </w:tcPr>
          <w:p w14:paraId="32E7DEB7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Підготовка змін до постанови Кабінету Міністрів України від 12 жовтня 2011 року       № 1049 у частині впровадження електронної процедури проведення конкурсів з надання фінансової підтримки для виконання (реалізації інститутами громадянського суспільства програм (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проєктів</w:t>
            </w:r>
            <w:proofErr w:type="spellEnd"/>
            <w:r w:rsidRPr="00AD5381">
              <w:rPr>
                <w:rFonts w:cs="Times New Roman"/>
                <w:lang w:eastAsia="en-US"/>
              </w:rPr>
              <w:t>)</w:t>
            </w:r>
          </w:p>
          <w:p w14:paraId="0457EF0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Розроблення онлайн платформи для проведення конкурсів з надання фінансової підтримки для виконання (реалізації) інститутами громадянського суспільства програм (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проєктів</w:t>
            </w:r>
            <w:proofErr w:type="spellEnd"/>
            <w:r w:rsidRPr="00AD5381">
              <w:rPr>
                <w:rFonts w:cs="Times New Roman"/>
                <w:lang w:eastAsia="en-US"/>
              </w:rPr>
              <w:t>, заходів), її введення в експлуатацію</w:t>
            </w:r>
          </w:p>
        </w:tc>
        <w:tc>
          <w:tcPr>
            <w:tcW w:w="1672" w:type="dxa"/>
          </w:tcPr>
          <w:p w14:paraId="3C7952C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Департамент молодіжної політики</w:t>
            </w:r>
          </w:p>
          <w:p w14:paraId="156A875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32D6308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5E0F84ED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146B5D8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75F0C1D0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30482F5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5C4DE4B7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Департамент молодіжної політики</w:t>
            </w:r>
          </w:p>
        </w:tc>
        <w:tc>
          <w:tcPr>
            <w:tcW w:w="1245" w:type="dxa"/>
          </w:tcPr>
          <w:p w14:paraId="334C29D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2021 року</w:t>
            </w:r>
          </w:p>
          <w:p w14:paraId="0BED92B2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342160A0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7F84A92C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1F5AEF07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7E90A4B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0E0B59F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64874B2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355AB24B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2021 року</w:t>
            </w:r>
          </w:p>
        </w:tc>
        <w:tc>
          <w:tcPr>
            <w:tcW w:w="2410" w:type="dxa"/>
          </w:tcPr>
          <w:p w14:paraId="34FB3296" w14:textId="77777777" w:rsidR="00331120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 стадії розробки он-лайн платформи для проведення конкурсів з надання фінансової підтримки для виконання (реалізації) інститутами громадянського суспільства програм (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проєктів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, заходів). Розроблено прототип такої платформи. </w:t>
            </w:r>
          </w:p>
          <w:p w14:paraId="4CD3C06D" w14:textId="38DDE319" w:rsidR="00AD5381" w:rsidRDefault="00331120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Розроблено </w:t>
            </w:r>
            <w:r w:rsidR="00AD5381" w:rsidRPr="00AD5381">
              <w:rPr>
                <w:rFonts w:cs="Times New Roman"/>
                <w:lang w:eastAsia="en-US"/>
              </w:rPr>
              <w:t>зміни до Порядку проведення конкурсу, затвердженого постановою КМУ від 12.10.2011 № 1049</w:t>
            </w:r>
            <w:r>
              <w:rPr>
                <w:rFonts w:cs="Times New Roman"/>
                <w:lang w:eastAsia="en-US"/>
              </w:rPr>
              <w:t xml:space="preserve">, проведено їх </w:t>
            </w:r>
            <w:r>
              <w:rPr>
                <w:rFonts w:cs="Times New Roman"/>
                <w:lang w:eastAsia="en-US"/>
              </w:rPr>
              <w:lastRenderedPageBreak/>
              <w:t>регіональні обговорення.</w:t>
            </w:r>
          </w:p>
          <w:p w14:paraId="48242E5E" w14:textId="77777777" w:rsidR="00331120" w:rsidRDefault="00331120" w:rsidP="00AD5381">
            <w:pPr>
              <w:suppressAutoHyphens w:val="0"/>
              <w:spacing w:after="160" w:line="259" w:lineRule="auto"/>
            </w:pPr>
            <w:r w:rsidRPr="00331120">
              <w:t>У рамках регіональних обговорень відбулася презентація електронної системи подачі заявок на конкурс, яка знаходиться на фінальній стадії розробки</w:t>
            </w:r>
          </w:p>
          <w:p w14:paraId="7376B7A4" w14:textId="23E5F63C" w:rsidR="00641B7C" w:rsidRPr="00331120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260" w:type="dxa"/>
          </w:tcPr>
          <w:p w14:paraId="2C700AF6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lastRenderedPageBreak/>
              <w:t>В стадії виконання</w:t>
            </w:r>
          </w:p>
        </w:tc>
      </w:tr>
      <w:tr w:rsidR="00AD5381" w:rsidRPr="00AD5381" w14:paraId="4DD0D2FE" w14:textId="77777777" w:rsidTr="00FB2A1B">
        <w:trPr>
          <w:trHeight w:val="300"/>
        </w:trPr>
        <w:tc>
          <w:tcPr>
            <w:tcW w:w="582" w:type="dxa"/>
          </w:tcPr>
          <w:p w14:paraId="6BEAB77B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2.</w:t>
            </w:r>
          </w:p>
        </w:tc>
        <w:tc>
          <w:tcPr>
            <w:tcW w:w="2835" w:type="dxa"/>
          </w:tcPr>
          <w:p w14:paraId="268DCB2B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Недосконалість механізму моніторингу проектів/заходів молодіжних та дитячих громадських організацій (МГО, ДГО) переможців конкурсу, який проводить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</w:p>
        </w:tc>
        <w:tc>
          <w:tcPr>
            <w:tcW w:w="3300" w:type="dxa"/>
          </w:tcPr>
          <w:p w14:paraId="28B7F03D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Розробка механізму щодо проведення незалежного моніторингу реалізації проектів і заходів МГО, ДГО, переможців конкурсу</w:t>
            </w:r>
          </w:p>
        </w:tc>
        <w:tc>
          <w:tcPr>
            <w:tcW w:w="1672" w:type="dxa"/>
          </w:tcPr>
          <w:p w14:paraId="33880FC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Департамент молодіжної політики</w:t>
            </w:r>
          </w:p>
        </w:tc>
        <w:tc>
          <w:tcPr>
            <w:tcW w:w="1245" w:type="dxa"/>
          </w:tcPr>
          <w:p w14:paraId="05D31BCB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 xml:space="preserve"> 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2020 року </w:t>
            </w:r>
          </w:p>
        </w:tc>
        <w:tc>
          <w:tcPr>
            <w:tcW w:w="2410" w:type="dxa"/>
          </w:tcPr>
          <w:p w14:paraId="0EDDF8F1" w14:textId="268AE41F" w:rsidR="00331120" w:rsidRPr="00AD5381" w:rsidRDefault="00331120" w:rsidP="00331120">
            <w:pPr>
              <w:tabs>
                <w:tab w:val="left" w:pos="4820"/>
              </w:tabs>
              <w:suppressAutoHyphens w:val="0"/>
              <w:jc w:val="both"/>
              <w:rPr>
                <w:rFonts w:cs="Times New Roman"/>
                <w:lang w:eastAsia="en-US"/>
              </w:rPr>
            </w:pPr>
            <w:r w:rsidRPr="00331120">
              <w:rPr>
                <w:rFonts w:eastAsia="Times New Roman" w:cs="Times New Roman"/>
                <w:lang w:eastAsia="ru-RU"/>
              </w:rPr>
              <w:t xml:space="preserve">розроблено проект наказу </w:t>
            </w:r>
            <w:proofErr w:type="spellStart"/>
            <w:r w:rsidRPr="00331120">
              <w:rPr>
                <w:rFonts w:eastAsia="Times New Roman" w:cs="Times New Roman"/>
                <w:lang w:eastAsia="ru-RU"/>
              </w:rPr>
              <w:t>Мінмолодьспорту</w:t>
            </w:r>
            <w:proofErr w:type="spellEnd"/>
            <w:r w:rsidRPr="00331120">
              <w:rPr>
                <w:rFonts w:eastAsia="Times New Roman" w:cs="Times New Roman"/>
                <w:lang w:eastAsia="ru-RU"/>
              </w:rPr>
              <w:t xml:space="preserve"> „Про внесення змін до Порядку подання творчих звітів про реалізацію проекту, проведення заходу та підсумкових звітів про виконання договору та здійснення їх моніторингу“ та погоджено його із структурними підрозділами </w:t>
            </w:r>
            <w:proofErr w:type="spellStart"/>
            <w:r w:rsidRPr="00331120">
              <w:rPr>
                <w:rFonts w:eastAsia="Times New Roman" w:cs="Times New Roman"/>
                <w:lang w:eastAsia="ru-RU"/>
              </w:rPr>
              <w:t>Мінмолодьспорту</w:t>
            </w:r>
            <w:proofErr w:type="spellEnd"/>
            <w:r w:rsidRPr="00331120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14:paraId="6F00A825" w14:textId="77777777" w:rsid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 стадії виконання </w:t>
            </w:r>
          </w:p>
          <w:p w14:paraId="073F8FD3" w14:textId="34953B7C" w:rsidR="00331120" w:rsidRPr="00331120" w:rsidRDefault="00331120" w:rsidP="00331120">
            <w:pPr>
              <w:tabs>
                <w:tab w:val="left" w:pos="4820"/>
              </w:tabs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331120">
              <w:rPr>
                <w:rFonts w:eastAsia="Times New Roman" w:cs="Times New Roman"/>
                <w:lang w:eastAsia="ru-RU"/>
              </w:rPr>
              <w:t>Видача наказу та його державна реєстрація запланована на ІІ квартал 2021 року.</w:t>
            </w:r>
          </w:p>
          <w:p w14:paraId="74A3DFE2" w14:textId="395E3AC0" w:rsidR="00331120" w:rsidRPr="00AD5381" w:rsidRDefault="00331120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</w:tr>
      <w:tr w:rsidR="00AD5381" w:rsidRPr="00AD5381" w14:paraId="47C6333C" w14:textId="77777777" w:rsidTr="00FB2A1B">
        <w:trPr>
          <w:trHeight w:val="300"/>
        </w:trPr>
        <w:tc>
          <w:tcPr>
            <w:tcW w:w="582" w:type="dxa"/>
          </w:tcPr>
          <w:p w14:paraId="5F3B37B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lang w:eastAsia="en-US"/>
              </w:rPr>
            </w:pPr>
            <w:bookmarkStart w:id="1" w:name="_Hlk44941709"/>
            <w:r w:rsidRPr="00AD5381">
              <w:rPr>
                <w:rFonts w:cs="Times New Roman"/>
                <w:b/>
                <w:bCs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</w:tcPr>
          <w:p w14:paraId="7DD507F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Неврегульованість механізму підрахунку єдиного рейтингу з олімпійських та неолімпійських видів спорту та уніфікації системи оцінки результатів виступів спортсменів України в офіційних спортивних змаганнях</w:t>
            </w:r>
          </w:p>
        </w:tc>
        <w:tc>
          <w:tcPr>
            <w:tcW w:w="3300" w:type="dxa"/>
          </w:tcPr>
          <w:p w14:paraId="70A0BB64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Розробка 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нормативно-правового акту щодо встановлення єдиного рейтингу з олімпійських та неолімпійських видів спорту та уніфікації системи оцінки результатів виступів спортсменів України в офіційних спортивних змаганнях та його затвердження в установленому порядку</w:t>
            </w:r>
          </w:p>
        </w:tc>
        <w:tc>
          <w:tcPr>
            <w:tcW w:w="1672" w:type="dxa"/>
          </w:tcPr>
          <w:p w14:paraId="6141F1F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Департамент олімпійського спорту Департамент фізичної культури та неолімпійських видів спорту </w:t>
            </w:r>
          </w:p>
        </w:tc>
        <w:tc>
          <w:tcPr>
            <w:tcW w:w="1245" w:type="dxa"/>
          </w:tcPr>
          <w:p w14:paraId="39ECC70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ІII квартал 2021 року</w:t>
            </w:r>
          </w:p>
        </w:tc>
        <w:tc>
          <w:tcPr>
            <w:tcW w:w="2410" w:type="dxa"/>
          </w:tcPr>
          <w:p w14:paraId="4B9C551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Наказом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від 09.07.2020 № 530 затверджено Положення про рейтинг з олімпійських та неолімпійських видів спорту в Україні (набуває чинності з 01 січня 2021 року.</w:t>
            </w:r>
          </w:p>
        </w:tc>
        <w:tc>
          <w:tcPr>
            <w:tcW w:w="3260" w:type="dxa"/>
          </w:tcPr>
          <w:p w14:paraId="477A7096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</w:p>
          <w:p w14:paraId="3F3DFAAA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ВИКОНАНО</w:t>
            </w:r>
          </w:p>
        </w:tc>
      </w:tr>
      <w:tr w:rsidR="00AD5381" w:rsidRPr="00AD5381" w14:paraId="2EC5C806" w14:textId="77777777" w:rsidTr="00FB2A1B">
        <w:trPr>
          <w:trHeight w:val="300"/>
        </w:trPr>
        <w:tc>
          <w:tcPr>
            <w:tcW w:w="582" w:type="dxa"/>
          </w:tcPr>
          <w:p w14:paraId="19A858B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lang w:eastAsia="en-US"/>
              </w:rPr>
            </w:pPr>
            <w:r w:rsidRPr="00AD5381">
              <w:rPr>
                <w:rFonts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2835" w:type="dxa"/>
          </w:tcPr>
          <w:p w14:paraId="6A604F1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Неврегульованість механізму прозорого розподілу бюджетних коштів між неолімпійськими видами спорту</w:t>
            </w:r>
          </w:p>
        </w:tc>
        <w:tc>
          <w:tcPr>
            <w:tcW w:w="3300" w:type="dxa"/>
          </w:tcPr>
          <w:p w14:paraId="0BC7847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Розробка 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нормативно-правового акту щодо механізму прозорого розподілу бюджетних коштів між неолімпійськими видами спорту </w:t>
            </w:r>
          </w:p>
        </w:tc>
        <w:tc>
          <w:tcPr>
            <w:tcW w:w="1672" w:type="dxa"/>
          </w:tcPr>
          <w:p w14:paraId="0032ACC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Департамент фізичної культури та </w:t>
            </w:r>
            <w:proofErr w:type="spellStart"/>
            <w:r w:rsidRPr="00AD5381">
              <w:rPr>
                <w:rFonts w:cs="Times New Roman"/>
                <w:lang w:eastAsia="en-US"/>
              </w:rPr>
              <w:t>неолімпійсь-ких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видів спорту</w:t>
            </w:r>
          </w:p>
        </w:tc>
        <w:tc>
          <w:tcPr>
            <w:tcW w:w="1245" w:type="dxa"/>
          </w:tcPr>
          <w:p w14:paraId="331AB09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ІV квартал 2021 року</w:t>
            </w:r>
          </w:p>
        </w:tc>
        <w:tc>
          <w:tcPr>
            <w:tcW w:w="2410" w:type="dxa"/>
          </w:tcPr>
          <w:p w14:paraId="21F6A04D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 стадії розробки</w:t>
            </w:r>
          </w:p>
        </w:tc>
        <w:tc>
          <w:tcPr>
            <w:tcW w:w="3260" w:type="dxa"/>
          </w:tcPr>
          <w:p w14:paraId="0D70785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 стадії виконання</w:t>
            </w:r>
          </w:p>
        </w:tc>
      </w:tr>
      <w:bookmarkEnd w:id="1"/>
      <w:tr w:rsidR="00AD5381" w:rsidRPr="00AD5381" w14:paraId="0037BC86" w14:textId="77777777" w:rsidTr="00FB2A1B">
        <w:trPr>
          <w:trHeight w:val="300"/>
        </w:trPr>
        <w:tc>
          <w:tcPr>
            <w:tcW w:w="582" w:type="dxa"/>
          </w:tcPr>
          <w:p w14:paraId="749751E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5.</w:t>
            </w:r>
          </w:p>
        </w:tc>
        <w:tc>
          <w:tcPr>
            <w:tcW w:w="2835" w:type="dxa"/>
          </w:tcPr>
          <w:p w14:paraId="6C2E5FA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Можливий вплив зацікавлених осіб на працівників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під час прийняття рішень щодо формування складу фахівців та тренерів штатної команди національних збірних команд з олімпійських видів спорту, визнаних в Україні</w:t>
            </w:r>
          </w:p>
        </w:tc>
        <w:tc>
          <w:tcPr>
            <w:tcW w:w="3300" w:type="dxa"/>
          </w:tcPr>
          <w:p w14:paraId="4A17E42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Видання наказу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«Про затвердження порядку формування складу фахівців та тренерів штатної команди національних збірних команд з олімпійських видів спорту, визнаних в Україні»</w:t>
            </w:r>
          </w:p>
        </w:tc>
        <w:tc>
          <w:tcPr>
            <w:tcW w:w="1672" w:type="dxa"/>
          </w:tcPr>
          <w:p w14:paraId="11979FD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Департамент олімпійського спорту</w:t>
            </w:r>
          </w:p>
        </w:tc>
        <w:tc>
          <w:tcPr>
            <w:tcW w:w="1245" w:type="dxa"/>
          </w:tcPr>
          <w:p w14:paraId="00DB59B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2020 року</w:t>
            </w:r>
          </w:p>
          <w:p w14:paraId="7A0C8E5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4EBCFAB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42EC225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77ED485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64FD971C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6F9AF518" w14:textId="77777777" w:rsidR="00AD5381" w:rsidRPr="00AD5381" w:rsidRDefault="00AD5381" w:rsidP="00AD5381">
            <w:pPr>
              <w:tabs>
                <w:tab w:val="left" w:pos="1305"/>
              </w:tabs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ab/>
            </w:r>
          </w:p>
        </w:tc>
        <w:tc>
          <w:tcPr>
            <w:tcW w:w="2410" w:type="dxa"/>
          </w:tcPr>
          <w:p w14:paraId="26B99773" w14:textId="7FD1978C" w:rsidR="00AD5381" w:rsidRPr="00AD5381" w:rsidRDefault="00331120" w:rsidP="00112C3B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Видано наказ Міністерства молоді та спорту України від 18.11.2020 № 2614 «Про затвердження порядку комплектування  національних збірних команд України з олімпійських видів спорту та внесення змін до наказу </w:t>
            </w:r>
            <w:proofErr w:type="spellStart"/>
            <w:r>
              <w:rPr>
                <w:rFonts w:cs="Times New Roman"/>
                <w:lang w:eastAsia="en-US"/>
              </w:rPr>
              <w:lastRenderedPageBreak/>
              <w:t>Мінмолодьспорту</w:t>
            </w:r>
            <w:proofErr w:type="spellEnd"/>
            <w:r w:rsidR="00112C3B">
              <w:rPr>
                <w:rFonts w:cs="Times New Roman"/>
                <w:lang w:eastAsia="en-US"/>
              </w:rPr>
              <w:t>,</w:t>
            </w:r>
            <w:r>
              <w:rPr>
                <w:rFonts w:cs="Times New Roman"/>
                <w:lang w:eastAsia="en-US"/>
              </w:rPr>
              <w:t xml:space="preserve"> </w:t>
            </w:r>
            <w:r w:rsidR="00112C3B">
              <w:rPr>
                <w:rFonts w:cs="Times New Roman"/>
                <w:lang w:eastAsia="en-US"/>
              </w:rPr>
              <w:t xml:space="preserve">що зареєстровано в Міністерстві юстиції України 04.01.2020 за № 8/5 </w:t>
            </w:r>
          </w:p>
        </w:tc>
        <w:tc>
          <w:tcPr>
            <w:tcW w:w="3260" w:type="dxa"/>
          </w:tcPr>
          <w:p w14:paraId="38F3E8D3" w14:textId="2A64F5C5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lastRenderedPageBreak/>
              <w:t>В</w:t>
            </w:r>
            <w:r w:rsidR="00331120">
              <w:rPr>
                <w:rFonts w:cs="Times New Roman"/>
                <w:lang w:eastAsia="en-US"/>
              </w:rPr>
              <w:t>ИКОНАНО</w:t>
            </w:r>
          </w:p>
        </w:tc>
      </w:tr>
      <w:tr w:rsidR="00AD5381" w:rsidRPr="00AD5381" w14:paraId="7910284E" w14:textId="77777777" w:rsidTr="00FB2A1B">
        <w:trPr>
          <w:trHeight w:val="1073"/>
        </w:trPr>
        <w:tc>
          <w:tcPr>
            <w:tcW w:w="582" w:type="dxa"/>
          </w:tcPr>
          <w:p w14:paraId="75481A4C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6.</w:t>
            </w:r>
          </w:p>
        </w:tc>
        <w:tc>
          <w:tcPr>
            <w:tcW w:w="2835" w:type="dxa"/>
          </w:tcPr>
          <w:p w14:paraId="6A25C99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Недосконалий порядок (відсутність чітких критеріїв) відбору заходів до календарного плану національно-патріотичного виховання молоді </w:t>
            </w:r>
          </w:p>
        </w:tc>
        <w:tc>
          <w:tcPr>
            <w:tcW w:w="3300" w:type="dxa"/>
          </w:tcPr>
          <w:p w14:paraId="46B3E1B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Внесення змін до наказу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від 05.04.2019 № 1740           «Про затвердження Порядку формування календарного плану заходів щодо реалізації державної політики з питань молоді», зареєстрованого в Міністерстві юстиції України 25 квітня 2019 року за           № 437/33408 </w:t>
            </w:r>
          </w:p>
        </w:tc>
        <w:tc>
          <w:tcPr>
            <w:tcW w:w="1672" w:type="dxa"/>
          </w:tcPr>
          <w:p w14:paraId="7DE6782D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Відділ національно-</w:t>
            </w:r>
            <w:proofErr w:type="spellStart"/>
            <w:r w:rsidRPr="00AD5381">
              <w:rPr>
                <w:rFonts w:cs="Times New Roman"/>
                <w:lang w:eastAsia="en-US"/>
              </w:rPr>
              <w:t>патріотич</w:t>
            </w:r>
            <w:proofErr w:type="spellEnd"/>
            <w:r w:rsidRPr="00AD5381">
              <w:rPr>
                <w:rFonts w:cs="Times New Roman"/>
                <w:lang w:eastAsia="en-US"/>
              </w:rPr>
              <w:t>-ного виховання</w:t>
            </w:r>
          </w:p>
        </w:tc>
        <w:tc>
          <w:tcPr>
            <w:tcW w:w="1245" w:type="dxa"/>
          </w:tcPr>
          <w:p w14:paraId="0D9D429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2020 року</w:t>
            </w:r>
          </w:p>
        </w:tc>
        <w:tc>
          <w:tcPr>
            <w:tcW w:w="2410" w:type="dxa"/>
          </w:tcPr>
          <w:p w14:paraId="6511935E" w14:textId="28793FF9" w:rsidR="00AD5381" w:rsidRPr="00112C3B" w:rsidRDefault="00112C3B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Видано наказ </w:t>
            </w:r>
            <w:proofErr w:type="spellStart"/>
            <w:r>
              <w:rPr>
                <w:rFonts w:cs="Times New Roman"/>
                <w:lang w:eastAsia="en-US"/>
              </w:rPr>
              <w:t>Мінмолодьспорту</w:t>
            </w:r>
            <w:proofErr w:type="spellEnd"/>
            <w:r>
              <w:rPr>
                <w:rFonts w:cs="Times New Roman"/>
                <w:lang w:eastAsia="en-US"/>
              </w:rPr>
              <w:t xml:space="preserve"> від 14.08.2020                    № 1025 «Про затвердження Змін до наказів Міністерства молоді та спорту України від 19 вересня 2018 року № 4334 та від 05 квітня 2019 року № 1740», що зареєстровано в Міністерстві юстиції України 09.11.2020 за № 1104/35387</w:t>
            </w:r>
          </w:p>
        </w:tc>
        <w:tc>
          <w:tcPr>
            <w:tcW w:w="3260" w:type="dxa"/>
          </w:tcPr>
          <w:p w14:paraId="6E4F7388" w14:textId="0BC6253A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</w:t>
            </w:r>
            <w:r w:rsidR="00112C3B">
              <w:rPr>
                <w:rFonts w:cs="Times New Roman"/>
                <w:lang w:eastAsia="en-US"/>
              </w:rPr>
              <w:t>ИКОНАНО</w:t>
            </w:r>
          </w:p>
        </w:tc>
      </w:tr>
      <w:tr w:rsidR="00AD5381" w:rsidRPr="00AD5381" w14:paraId="29660521" w14:textId="77777777" w:rsidTr="00FB2A1B">
        <w:trPr>
          <w:trHeight w:val="575"/>
        </w:trPr>
        <w:tc>
          <w:tcPr>
            <w:tcW w:w="582" w:type="dxa"/>
          </w:tcPr>
          <w:p w14:paraId="7BE73AE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7.</w:t>
            </w:r>
          </w:p>
        </w:tc>
        <w:tc>
          <w:tcPr>
            <w:tcW w:w="2835" w:type="dxa"/>
          </w:tcPr>
          <w:p w14:paraId="70CCD3BD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Неврегульованість процедури передачі посадовими особами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подарунків, одержаних як подарунки державі відповідно до вимог постанови Кабінету Міністрів України від        </w:t>
            </w:r>
            <w:r w:rsidRPr="00AD5381">
              <w:rPr>
                <w:rFonts w:cs="Times New Roman"/>
                <w:lang w:eastAsia="en-US"/>
              </w:rPr>
              <w:lastRenderedPageBreak/>
              <w:t>16 листопада 2011 року № 1195 (зі змінами)</w:t>
            </w:r>
          </w:p>
          <w:p w14:paraId="7CE3EFAB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4F6E769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300" w:type="dxa"/>
          </w:tcPr>
          <w:p w14:paraId="5BC9833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lastRenderedPageBreak/>
              <w:t xml:space="preserve">Підготовка та прийняття внутрішнього нормативного акту  щодо створення комісії, порядку її діяльності, порядку передачі отриманих подарунків </w:t>
            </w:r>
          </w:p>
        </w:tc>
        <w:tc>
          <w:tcPr>
            <w:tcW w:w="1672" w:type="dxa"/>
          </w:tcPr>
          <w:p w14:paraId="5CBB731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Відділ </w:t>
            </w:r>
            <w:proofErr w:type="spellStart"/>
            <w:r w:rsidRPr="00AD5381">
              <w:rPr>
                <w:rFonts w:cs="Times New Roman"/>
                <w:lang w:eastAsia="en-US"/>
              </w:rPr>
              <w:t>бухгалтерсь</w:t>
            </w:r>
            <w:proofErr w:type="spellEnd"/>
            <w:r w:rsidRPr="00AD5381">
              <w:rPr>
                <w:rFonts w:cs="Times New Roman"/>
                <w:lang w:eastAsia="en-US"/>
              </w:rPr>
              <w:t>-кого обліку та звітності, головний спеціаліст з антикорупційних питань</w:t>
            </w:r>
          </w:p>
        </w:tc>
        <w:tc>
          <w:tcPr>
            <w:tcW w:w="1245" w:type="dxa"/>
          </w:tcPr>
          <w:p w14:paraId="1E3B870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ІІ квартал 2021 року</w:t>
            </w:r>
          </w:p>
        </w:tc>
        <w:tc>
          <w:tcPr>
            <w:tcW w:w="2410" w:type="dxa"/>
          </w:tcPr>
          <w:p w14:paraId="6CB82EE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 стадії розробки</w:t>
            </w:r>
          </w:p>
        </w:tc>
        <w:tc>
          <w:tcPr>
            <w:tcW w:w="3260" w:type="dxa"/>
          </w:tcPr>
          <w:p w14:paraId="70EC041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 стадії виконання</w:t>
            </w:r>
          </w:p>
        </w:tc>
      </w:tr>
      <w:tr w:rsidR="00AD5381" w:rsidRPr="00AD5381" w14:paraId="25304B94" w14:textId="77777777" w:rsidTr="00FB2A1B">
        <w:trPr>
          <w:trHeight w:val="575"/>
        </w:trPr>
        <w:tc>
          <w:tcPr>
            <w:tcW w:w="582" w:type="dxa"/>
          </w:tcPr>
          <w:p w14:paraId="49DF98E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8.</w:t>
            </w:r>
          </w:p>
        </w:tc>
        <w:tc>
          <w:tcPr>
            <w:tcW w:w="2835" w:type="dxa"/>
          </w:tcPr>
          <w:p w14:paraId="21FAC96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Неврегульованість взаємодії уповноваженої особи з питань запобігання та виявлення корупції та служби управління персоналом з питань перевірки фактів дотримання вимог фінансового контролю працівниками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при припиненні виконання функцій держави</w:t>
            </w:r>
          </w:p>
        </w:tc>
        <w:tc>
          <w:tcPr>
            <w:tcW w:w="3300" w:type="dxa"/>
          </w:tcPr>
          <w:p w14:paraId="2D0DB104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Підготовка та прийняття внутрішнього нормативного акту  щодо врегулювання взаємодії уповноваженої особи з питань запобігання та виявлення корупції та служби управління персоналом з питань перевірки фактів дотримання вимог фінансового контролю працівниками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при припиненні виконання функцій держави</w:t>
            </w:r>
          </w:p>
        </w:tc>
        <w:tc>
          <w:tcPr>
            <w:tcW w:w="1672" w:type="dxa"/>
          </w:tcPr>
          <w:p w14:paraId="014CA13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Головний спеціаліст з антикорупційних питань</w:t>
            </w:r>
          </w:p>
          <w:p w14:paraId="73D0E496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Управління роботи з персоналом</w:t>
            </w:r>
          </w:p>
        </w:tc>
        <w:tc>
          <w:tcPr>
            <w:tcW w:w="1245" w:type="dxa"/>
          </w:tcPr>
          <w:p w14:paraId="2FDE3E2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ІІІ квартал 2020 року</w:t>
            </w:r>
          </w:p>
        </w:tc>
        <w:tc>
          <w:tcPr>
            <w:tcW w:w="2410" w:type="dxa"/>
          </w:tcPr>
          <w:p w14:paraId="7C029C74" w14:textId="3F07A8DD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Наказом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від 16.09.2020 № 1558 затверджено Порядок взаємодії головного спеціаліста з антикорупційних питань зі структурними підрозділами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з метою обліку </w:t>
            </w:r>
            <w:r w:rsidR="00641B7C" w:rsidRPr="00AD5381">
              <w:rPr>
                <w:rFonts w:cs="Times New Roman"/>
                <w:lang w:eastAsia="en-US"/>
              </w:rPr>
              <w:t>суб’єктів</w:t>
            </w:r>
            <w:r w:rsidRPr="00AD5381">
              <w:rPr>
                <w:rFonts w:cs="Times New Roman"/>
                <w:lang w:eastAsia="en-US"/>
              </w:rPr>
              <w:t xml:space="preserve"> декларування, у яких виник </w:t>
            </w:r>
            <w:r w:rsidR="00641B7C" w:rsidRPr="00AD5381">
              <w:rPr>
                <w:rFonts w:cs="Times New Roman"/>
                <w:lang w:eastAsia="en-US"/>
              </w:rPr>
              <w:t>обов’язок</w:t>
            </w:r>
            <w:r w:rsidRPr="00AD5381">
              <w:rPr>
                <w:rFonts w:cs="Times New Roman"/>
                <w:lang w:eastAsia="en-US"/>
              </w:rPr>
              <w:t xml:space="preserve"> подати декларацію відповідно до Закону України «Про запобігання корупції»</w:t>
            </w:r>
          </w:p>
        </w:tc>
        <w:tc>
          <w:tcPr>
            <w:tcW w:w="3260" w:type="dxa"/>
          </w:tcPr>
          <w:p w14:paraId="0B3902E2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ВИКОНАНО</w:t>
            </w:r>
          </w:p>
        </w:tc>
      </w:tr>
      <w:tr w:rsidR="00AD5381" w:rsidRPr="00AD5381" w14:paraId="45D7F92C" w14:textId="77777777" w:rsidTr="00FB2A1B">
        <w:trPr>
          <w:trHeight w:val="575"/>
        </w:trPr>
        <w:tc>
          <w:tcPr>
            <w:tcW w:w="582" w:type="dxa"/>
          </w:tcPr>
          <w:p w14:paraId="48D03E70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9</w:t>
            </w:r>
          </w:p>
        </w:tc>
        <w:tc>
          <w:tcPr>
            <w:tcW w:w="2835" w:type="dxa"/>
          </w:tcPr>
          <w:p w14:paraId="77F8281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proofErr w:type="spellStart"/>
            <w:r w:rsidRPr="00AD5381">
              <w:rPr>
                <w:rFonts w:cs="Times New Roman"/>
                <w:lang w:eastAsia="en-US"/>
              </w:rPr>
              <w:t>Недоброчесність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посадових осіб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під час здійснення його представництва в судах</w:t>
            </w:r>
          </w:p>
        </w:tc>
        <w:tc>
          <w:tcPr>
            <w:tcW w:w="3300" w:type="dxa"/>
          </w:tcPr>
          <w:p w14:paraId="0626557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Внесення зміни в довіреність на представництво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в суді щодо заборони за власною ініціативою відмовлятися від </w:t>
            </w:r>
            <w:r w:rsidRPr="00AD5381">
              <w:rPr>
                <w:rFonts w:cs="Times New Roman"/>
                <w:lang w:eastAsia="en-US"/>
              </w:rPr>
              <w:lastRenderedPageBreak/>
              <w:t>позову, укладати мирову угоду або визнавати позов.</w:t>
            </w:r>
          </w:p>
          <w:p w14:paraId="07AA8E8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Скасування довіреностей особам що звільнились (припинили повноваження).</w:t>
            </w:r>
          </w:p>
          <w:p w14:paraId="352A9D0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Моніторинг рішень суду щодо позиції представника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</w:p>
        </w:tc>
        <w:tc>
          <w:tcPr>
            <w:tcW w:w="1672" w:type="dxa"/>
          </w:tcPr>
          <w:p w14:paraId="3ED6A9B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lastRenderedPageBreak/>
              <w:t>Юридичне управління</w:t>
            </w:r>
          </w:p>
        </w:tc>
        <w:tc>
          <w:tcPr>
            <w:tcW w:w="1245" w:type="dxa"/>
          </w:tcPr>
          <w:p w14:paraId="4C390C8C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ІІІ квартал 2020 року, постійно</w:t>
            </w:r>
          </w:p>
        </w:tc>
        <w:tc>
          <w:tcPr>
            <w:tcW w:w="2410" w:type="dxa"/>
          </w:tcPr>
          <w:p w14:paraId="43A32C8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proofErr w:type="spellStart"/>
            <w:r w:rsidRPr="00AD5381">
              <w:rPr>
                <w:rFonts w:cs="Times New Roman"/>
                <w:lang w:eastAsia="en-US"/>
              </w:rPr>
              <w:t>Внесено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зміни в довіреність на представництво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в суді, що мінімізує можливість визнання </w:t>
            </w:r>
            <w:r w:rsidRPr="00AD5381">
              <w:rPr>
                <w:rFonts w:cs="Times New Roman"/>
                <w:lang w:eastAsia="en-US"/>
              </w:rPr>
              <w:lastRenderedPageBreak/>
              <w:t xml:space="preserve">позову або відмови від нього, здійснення будь-яких дій з представництва в судах після звільнення (припинення повноважень), здійснюється моніторинг судових рішень щодо позиції представника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в судових засіданнях</w:t>
            </w:r>
          </w:p>
        </w:tc>
        <w:tc>
          <w:tcPr>
            <w:tcW w:w="3260" w:type="dxa"/>
          </w:tcPr>
          <w:p w14:paraId="65EF1BF0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</w:p>
          <w:p w14:paraId="210FC68B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ВИКОНУЄТЬСЯ </w:t>
            </w:r>
          </w:p>
          <w:p w14:paraId="75407BBD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на постійній основі</w:t>
            </w:r>
          </w:p>
        </w:tc>
      </w:tr>
      <w:tr w:rsidR="00AD5381" w:rsidRPr="00AD5381" w14:paraId="15020471" w14:textId="77777777" w:rsidTr="00FB2A1B">
        <w:trPr>
          <w:trHeight w:val="575"/>
        </w:trPr>
        <w:tc>
          <w:tcPr>
            <w:tcW w:w="582" w:type="dxa"/>
          </w:tcPr>
          <w:p w14:paraId="097EDC0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2835" w:type="dxa"/>
          </w:tcPr>
          <w:p w14:paraId="62CC10F2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Неврегульованість діяльності з виявлення фактів національного чи транснаціонального маніпулювання національними і міжнародними спортивними змаганнями</w:t>
            </w:r>
          </w:p>
        </w:tc>
        <w:tc>
          <w:tcPr>
            <w:tcW w:w="3300" w:type="dxa"/>
          </w:tcPr>
          <w:p w14:paraId="49B2FF4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Розроблення внутрішнього нормативного акту, що регулює діяльність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у разі виявлення фактів національного чи транснаціонального маніпулювання національними і міжнародними спортивними змаганнями</w:t>
            </w:r>
          </w:p>
        </w:tc>
        <w:tc>
          <w:tcPr>
            <w:tcW w:w="1672" w:type="dxa"/>
          </w:tcPr>
          <w:p w14:paraId="72F8788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 xml:space="preserve">Структурні підрозділи </w:t>
            </w:r>
            <w:proofErr w:type="spellStart"/>
            <w:r w:rsidRPr="00AD5381">
              <w:rPr>
                <w:rFonts w:cs="Times New Roman"/>
                <w:bCs/>
                <w:lang w:eastAsia="en-US"/>
              </w:rPr>
              <w:t>Мінмолодь</w:t>
            </w:r>
            <w:proofErr w:type="spellEnd"/>
            <w:r w:rsidRPr="00AD5381">
              <w:rPr>
                <w:rFonts w:cs="Times New Roman"/>
                <w:bCs/>
                <w:lang w:eastAsia="en-US"/>
              </w:rPr>
              <w:t xml:space="preserve">-спорту </w:t>
            </w:r>
          </w:p>
          <w:p w14:paraId="413480D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(у межах компетенції)</w:t>
            </w:r>
          </w:p>
        </w:tc>
        <w:tc>
          <w:tcPr>
            <w:tcW w:w="1245" w:type="dxa"/>
          </w:tcPr>
          <w:p w14:paraId="163EF7E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2021 року</w:t>
            </w:r>
          </w:p>
        </w:tc>
        <w:tc>
          <w:tcPr>
            <w:tcW w:w="2410" w:type="dxa"/>
          </w:tcPr>
          <w:p w14:paraId="2D0E89EA" w14:textId="2EFEB7B5" w:rsidR="00466F55" w:rsidRDefault="00466F55" w:rsidP="00466F55">
            <w:pPr>
              <w:rPr>
                <w:sz w:val="28"/>
                <w:szCs w:val="28"/>
              </w:rPr>
            </w:pPr>
            <w:r>
              <w:rPr>
                <w:rFonts w:cs="Times New Roman"/>
                <w:lang w:eastAsia="en-US"/>
              </w:rPr>
              <w:t>Р</w:t>
            </w:r>
            <w:r w:rsidR="00AD5381" w:rsidRPr="00AD5381">
              <w:rPr>
                <w:rFonts w:cs="Times New Roman"/>
                <w:lang w:eastAsia="en-US"/>
              </w:rPr>
              <w:t>озробл</w:t>
            </w:r>
            <w:r>
              <w:rPr>
                <w:rFonts w:cs="Times New Roman"/>
                <w:lang w:eastAsia="en-US"/>
              </w:rPr>
              <w:t xml:space="preserve">ено проект наказу про створення робочої групи </w:t>
            </w:r>
          </w:p>
          <w:p w14:paraId="21CDA9EE" w14:textId="77777777" w:rsidR="00466F55" w:rsidRPr="00466F55" w:rsidRDefault="00466F55" w:rsidP="00466F55">
            <w:r w:rsidRPr="00466F55">
              <w:t xml:space="preserve">з розробки концепції та впровадження </w:t>
            </w:r>
          </w:p>
          <w:p w14:paraId="08B8CC7C" w14:textId="671FE3C9" w:rsidR="00AD5381" w:rsidRPr="00AD5381" w:rsidRDefault="00466F55" w:rsidP="00466F55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466F55">
              <w:t>Національної платформи</w:t>
            </w:r>
            <w:r w:rsidR="00AD5381" w:rsidRPr="00AD5381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протидії маніпулювання спортивними змаганнями</w:t>
            </w:r>
            <w:r w:rsidR="009D69C9">
              <w:rPr>
                <w:rFonts w:cs="Times New Roman"/>
                <w:lang w:eastAsia="en-US"/>
              </w:rPr>
              <w:t>.</w:t>
            </w:r>
            <w:r>
              <w:rPr>
                <w:rFonts w:cs="Times New Roman"/>
                <w:lang w:eastAsia="en-US"/>
              </w:rPr>
              <w:t xml:space="preserve"> </w:t>
            </w:r>
            <w:r w:rsidR="009D69C9">
              <w:rPr>
                <w:rFonts w:cs="Times New Roman"/>
                <w:lang w:eastAsia="en-US"/>
              </w:rPr>
              <w:t>З</w:t>
            </w:r>
            <w:r>
              <w:rPr>
                <w:rFonts w:cs="Times New Roman"/>
                <w:lang w:eastAsia="en-US"/>
              </w:rPr>
              <w:t xml:space="preserve">абезпечено </w:t>
            </w:r>
            <w:r w:rsidR="00AD5381" w:rsidRPr="00AD5381">
              <w:rPr>
                <w:rFonts w:cs="Times New Roman"/>
                <w:lang w:eastAsia="en-US"/>
              </w:rPr>
              <w:t>участ</w:t>
            </w:r>
            <w:r>
              <w:rPr>
                <w:rFonts w:cs="Times New Roman"/>
                <w:lang w:eastAsia="en-US"/>
              </w:rPr>
              <w:t>ь</w:t>
            </w:r>
            <w:r w:rsidR="00AD5381" w:rsidRPr="00AD5381">
              <w:rPr>
                <w:rFonts w:cs="Times New Roman"/>
                <w:lang w:eastAsia="en-US"/>
              </w:rPr>
              <w:t xml:space="preserve"> представників </w:t>
            </w:r>
            <w:proofErr w:type="spellStart"/>
            <w:r w:rsidR="00AD5381"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="00AD5381" w:rsidRPr="00AD5381">
              <w:rPr>
                <w:rFonts w:cs="Times New Roman"/>
                <w:lang w:eastAsia="en-US"/>
              </w:rPr>
              <w:t xml:space="preserve">    у першому засіданні Комітету Конвенції Ради Європи проти маніпулювання спортивними </w:t>
            </w:r>
            <w:r w:rsidR="00AD5381" w:rsidRPr="00AD5381">
              <w:rPr>
                <w:rFonts w:cs="Times New Roman"/>
                <w:lang w:eastAsia="en-US"/>
              </w:rPr>
              <w:lastRenderedPageBreak/>
              <w:t xml:space="preserve">змаганнями </w:t>
            </w:r>
            <w:r w:rsidR="009D69C9">
              <w:rPr>
                <w:rFonts w:cs="Times New Roman"/>
                <w:lang w:eastAsia="en-US"/>
              </w:rPr>
              <w:t xml:space="preserve">                    </w:t>
            </w:r>
            <w:r w:rsidR="00AD5381" w:rsidRPr="00AD5381">
              <w:rPr>
                <w:rFonts w:cs="Times New Roman"/>
                <w:lang w:eastAsia="en-US"/>
              </w:rPr>
              <w:t>(20-21жовтня – 24-25 листопада 2020 року</w:t>
            </w:r>
          </w:p>
        </w:tc>
        <w:tc>
          <w:tcPr>
            <w:tcW w:w="3260" w:type="dxa"/>
          </w:tcPr>
          <w:p w14:paraId="34895EA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lastRenderedPageBreak/>
              <w:t>В стадії виконання</w:t>
            </w:r>
          </w:p>
        </w:tc>
      </w:tr>
      <w:tr w:rsidR="00AD5381" w:rsidRPr="00AD5381" w14:paraId="7DF21C90" w14:textId="77777777" w:rsidTr="00FB2A1B">
        <w:trPr>
          <w:trHeight w:val="510"/>
        </w:trPr>
        <w:tc>
          <w:tcPr>
            <w:tcW w:w="582" w:type="dxa"/>
          </w:tcPr>
          <w:p w14:paraId="0971249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11.</w:t>
            </w:r>
          </w:p>
        </w:tc>
        <w:tc>
          <w:tcPr>
            <w:tcW w:w="2835" w:type="dxa"/>
          </w:tcPr>
          <w:p w14:paraId="54967267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Можливе неврахування альтернативних пропозицій та зауважень громадськості до 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проєктів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програм та нормативно-правових актів</w:t>
            </w:r>
          </w:p>
          <w:p w14:paraId="2AAFAB5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300" w:type="dxa"/>
            <w:shd w:val="clear" w:color="auto" w:fill="auto"/>
          </w:tcPr>
          <w:p w14:paraId="304C0A5C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Надання обґрунтованих підстав для відмови у прийнятті альтернативних пропозицій та зауважень громадськості до 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проєктів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програм та нормативно-правових актів</w:t>
            </w:r>
          </w:p>
        </w:tc>
        <w:tc>
          <w:tcPr>
            <w:tcW w:w="1672" w:type="dxa"/>
          </w:tcPr>
          <w:p w14:paraId="70362D4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Структурний підрозділ, що відповідає за розробку програми або нормативно-правового акту,</w:t>
            </w:r>
          </w:p>
          <w:p w14:paraId="6974166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 xml:space="preserve">головний спеціаліст з </w:t>
            </w:r>
            <w:proofErr w:type="spellStart"/>
            <w:r w:rsidRPr="00AD5381">
              <w:rPr>
                <w:rFonts w:cs="Times New Roman"/>
                <w:bCs/>
                <w:lang w:eastAsia="en-US"/>
              </w:rPr>
              <w:t>антикоруп-ційних</w:t>
            </w:r>
            <w:proofErr w:type="spellEnd"/>
            <w:r w:rsidRPr="00AD5381">
              <w:rPr>
                <w:rFonts w:cs="Times New Roman"/>
                <w:bCs/>
                <w:lang w:eastAsia="en-US"/>
              </w:rPr>
              <w:t xml:space="preserve"> питань</w:t>
            </w:r>
          </w:p>
        </w:tc>
        <w:tc>
          <w:tcPr>
            <w:tcW w:w="1245" w:type="dxa"/>
          </w:tcPr>
          <w:p w14:paraId="258C089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Упродовж 2020-2021 років</w:t>
            </w:r>
          </w:p>
          <w:p w14:paraId="08336CC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51C5B53E" w14:textId="3941086F" w:rsidR="00466F55" w:rsidRDefault="00466F55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Доручення Державного секретаря Міністерства молоді та спорту від 23.11.2020 № 53-Д «Про проведення електронних консультацій з громадськістю» </w:t>
            </w:r>
          </w:p>
          <w:p w14:paraId="37E06D1A" w14:textId="5613D455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Виконується на постійній основі </w:t>
            </w:r>
            <w:r w:rsidRPr="00AD5381">
              <w:rPr>
                <w:rFonts w:cs="Times New Roman"/>
                <w:bCs/>
                <w:lang w:eastAsia="en-US"/>
              </w:rPr>
              <w:t xml:space="preserve">за фактом надходження </w:t>
            </w:r>
            <w:r w:rsidRPr="00AD5381">
              <w:rPr>
                <w:rFonts w:cs="Times New Roman"/>
                <w:lang w:eastAsia="en-US"/>
              </w:rPr>
              <w:t xml:space="preserve">альтернатив-них пропозицій та зауважень громадськості до 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проєктів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програм та нормативно-правових актів)</w:t>
            </w:r>
            <w:r w:rsidR="00466F55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37C6466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4C86B91A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ВИКОНУЄТЬСЯ</w:t>
            </w:r>
          </w:p>
          <w:p w14:paraId="6777E752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на постійній основі</w:t>
            </w:r>
            <w:r w:rsidRPr="00AD5381">
              <w:rPr>
                <w:rFonts w:cs="Times New Roman"/>
                <w:bCs/>
                <w:lang w:eastAsia="en-US"/>
              </w:rPr>
              <w:t xml:space="preserve"> за фактом надходження </w:t>
            </w:r>
            <w:r w:rsidRPr="00AD5381">
              <w:rPr>
                <w:rFonts w:cs="Times New Roman"/>
                <w:lang w:eastAsia="en-US"/>
              </w:rPr>
              <w:t xml:space="preserve">альтернатив-них пропозицій та зауважень громадськості до </w:t>
            </w:r>
            <w:proofErr w:type="spellStart"/>
            <w:r w:rsidRPr="00AD5381">
              <w:rPr>
                <w:rFonts w:cs="Times New Roman"/>
                <w:lang w:eastAsia="en-US"/>
              </w:rPr>
              <w:t>проєктів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програм та нормативно-правових актів)</w:t>
            </w:r>
          </w:p>
        </w:tc>
      </w:tr>
      <w:tr w:rsidR="00AD5381" w:rsidRPr="00AD5381" w14:paraId="67419CCB" w14:textId="77777777" w:rsidTr="00FB2A1B">
        <w:trPr>
          <w:trHeight w:val="510"/>
        </w:trPr>
        <w:tc>
          <w:tcPr>
            <w:tcW w:w="582" w:type="dxa"/>
          </w:tcPr>
          <w:p w14:paraId="4C3EB01B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12.</w:t>
            </w:r>
          </w:p>
        </w:tc>
        <w:tc>
          <w:tcPr>
            <w:tcW w:w="2835" w:type="dxa"/>
          </w:tcPr>
          <w:p w14:paraId="1BF6D5F3" w14:textId="7438A71E" w:rsidR="00CD0C71" w:rsidRPr="00AD5381" w:rsidRDefault="00AD5381" w:rsidP="009D69C9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color w:val="333333"/>
                <w:shd w:val="clear" w:color="auto" w:fill="FFFFFF"/>
                <w:lang w:eastAsia="en-US"/>
              </w:rPr>
              <w:t xml:space="preserve">Неврегульованість процедур і механізмів прийняття та розгляду повідомлень про можливі факти корупційних або пов’язаних з корупцією правопорушень, інших </w:t>
            </w:r>
            <w:r w:rsidRPr="00AD5381">
              <w:rPr>
                <w:rFonts w:cs="Times New Roman"/>
                <w:color w:val="333333"/>
                <w:shd w:val="clear" w:color="auto" w:fill="FFFFFF"/>
                <w:lang w:eastAsia="en-US"/>
              </w:rPr>
              <w:lastRenderedPageBreak/>
              <w:t>порушень цього Закону, перевірки та належного реагування на такі повідомлення (відповідно до ст. 53</w:t>
            </w:r>
            <w:r w:rsidRPr="00AD5381">
              <w:rPr>
                <w:rFonts w:cs="Times New Roman"/>
                <w:color w:val="333333"/>
                <w:shd w:val="clear" w:color="auto" w:fill="FFFFFF"/>
                <w:vertAlign w:val="superscript"/>
                <w:lang w:eastAsia="en-US"/>
              </w:rPr>
              <w:t>1</w:t>
            </w:r>
            <w:r w:rsidRPr="00AD5381">
              <w:rPr>
                <w:rFonts w:cs="Times New Roman"/>
                <w:color w:val="333333"/>
                <w:shd w:val="clear" w:color="auto" w:fill="FFFFFF"/>
                <w:lang w:eastAsia="en-US"/>
              </w:rPr>
              <w:t>-53</w:t>
            </w:r>
            <w:r w:rsidRPr="00AD5381">
              <w:rPr>
                <w:rFonts w:cs="Times New Roman"/>
                <w:color w:val="333333"/>
                <w:shd w:val="clear" w:color="auto" w:fill="FFFFFF"/>
                <w:vertAlign w:val="superscript"/>
                <w:lang w:eastAsia="en-US"/>
              </w:rPr>
              <w:t xml:space="preserve">2 </w:t>
            </w:r>
            <w:r w:rsidRPr="00AD5381">
              <w:rPr>
                <w:rFonts w:cs="Times New Roman"/>
                <w:color w:val="333333"/>
                <w:shd w:val="clear" w:color="auto" w:fill="FFFFFF"/>
                <w:lang w:eastAsia="en-US"/>
              </w:rPr>
              <w:t>Закону України                «Про запобігання корупції»</w:t>
            </w:r>
          </w:p>
        </w:tc>
        <w:tc>
          <w:tcPr>
            <w:tcW w:w="3300" w:type="dxa"/>
            <w:shd w:val="clear" w:color="auto" w:fill="auto"/>
          </w:tcPr>
          <w:p w14:paraId="677A927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lastRenderedPageBreak/>
              <w:t xml:space="preserve">Розроблення внутрішнього документу, що регулює процедуру та механізм </w:t>
            </w:r>
            <w:r w:rsidRPr="00AD5381">
              <w:rPr>
                <w:rFonts w:cs="Times New Roman"/>
                <w:color w:val="333333"/>
                <w:shd w:val="clear" w:color="auto" w:fill="FFFFFF"/>
                <w:lang w:eastAsia="en-US"/>
              </w:rPr>
              <w:t xml:space="preserve">прийняття та розгляду повідомлень про можливі факти корупційних або пов’язаних з корупцією правопорушень, інших </w:t>
            </w:r>
            <w:r w:rsidRPr="00AD5381">
              <w:rPr>
                <w:rFonts w:cs="Times New Roman"/>
                <w:color w:val="333333"/>
                <w:shd w:val="clear" w:color="auto" w:fill="FFFFFF"/>
                <w:lang w:eastAsia="en-US"/>
              </w:rPr>
              <w:lastRenderedPageBreak/>
              <w:t>порушень цього Закону, перевірки та належного реагування на такі повідомлення</w:t>
            </w:r>
          </w:p>
        </w:tc>
        <w:tc>
          <w:tcPr>
            <w:tcW w:w="1672" w:type="dxa"/>
          </w:tcPr>
          <w:p w14:paraId="645181C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lastRenderedPageBreak/>
              <w:t>Головний спеціаліст з антикорупційних питань</w:t>
            </w:r>
          </w:p>
        </w:tc>
        <w:tc>
          <w:tcPr>
            <w:tcW w:w="1245" w:type="dxa"/>
          </w:tcPr>
          <w:p w14:paraId="25EC58A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 xml:space="preserve"> ІІІ квартал 2020 року</w:t>
            </w:r>
          </w:p>
        </w:tc>
        <w:tc>
          <w:tcPr>
            <w:tcW w:w="2410" w:type="dxa"/>
          </w:tcPr>
          <w:p w14:paraId="7711E2B2" w14:textId="77777777" w:rsidR="00AD5381" w:rsidRPr="00AD5381" w:rsidRDefault="00AD5381" w:rsidP="00AD5381">
            <w:pPr>
              <w:suppressAutoHyphens w:val="0"/>
              <w:jc w:val="center"/>
              <w:rPr>
                <w:rFonts w:eastAsia="Calibri" w:cs="Times New Roman"/>
                <w:lang w:eastAsia="uk-UA"/>
              </w:rPr>
            </w:pPr>
            <w:r w:rsidRPr="00AD5381">
              <w:rPr>
                <w:rFonts w:cs="Times New Roman"/>
                <w:lang w:eastAsia="en-US"/>
              </w:rPr>
              <w:t xml:space="preserve">Розроблено Інструкцію </w:t>
            </w:r>
          </w:p>
          <w:p w14:paraId="0432B350" w14:textId="77777777" w:rsidR="00AD5381" w:rsidRPr="00AD5381" w:rsidRDefault="00AD5381" w:rsidP="00AD5381">
            <w:pPr>
              <w:suppressAutoHyphens w:val="0"/>
              <w:jc w:val="center"/>
              <w:rPr>
                <w:rFonts w:eastAsia="Calibri" w:cs="Times New Roman"/>
                <w:lang w:eastAsia="uk-UA"/>
              </w:rPr>
            </w:pPr>
            <w:r w:rsidRPr="00AD5381">
              <w:rPr>
                <w:rFonts w:eastAsia="Calibri" w:cs="Times New Roman"/>
                <w:lang w:eastAsia="uk-UA"/>
              </w:rPr>
              <w:t xml:space="preserve">з організації роботи з повідомленнями про корупцію, внесеними викривачами, в </w:t>
            </w:r>
            <w:proofErr w:type="spellStart"/>
            <w:r w:rsidRPr="00AD5381">
              <w:rPr>
                <w:rFonts w:eastAsia="Calibri" w:cs="Times New Roman"/>
                <w:lang w:eastAsia="uk-UA"/>
              </w:rPr>
              <w:t>апараті</w:t>
            </w:r>
            <w:proofErr w:type="spellEnd"/>
            <w:r w:rsidRPr="00AD5381">
              <w:rPr>
                <w:rFonts w:eastAsia="Calibri" w:cs="Times New Roman"/>
                <w:lang w:eastAsia="uk-UA"/>
              </w:rPr>
              <w:t xml:space="preserve"> Міністерства </w:t>
            </w:r>
            <w:r w:rsidRPr="00AD5381">
              <w:rPr>
                <w:rFonts w:eastAsia="Calibri" w:cs="Times New Roman"/>
                <w:lang w:eastAsia="uk-UA"/>
              </w:rPr>
              <w:lastRenderedPageBreak/>
              <w:t xml:space="preserve">молоді та спорту України  </w:t>
            </w:r>
          </w:p>
          <w:p w14:paraId="2815C63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260" w:type="dxa"/>
          </w:tcPr>
          <w:p w14:paraId="66626174" w14:textId="77777777" w:rsidR="00AD5381" w:rsidRPr="00641B7C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641B7C">
              <w:rPr>
                <w:rFonts w:cs="Times New Roman"/>
                <w:lang w:eastAsia="en-US"/>
              </w:rPr>
              <w:lastRenderedPageBreak/>
              <w:t>ВИКОНАНО</w:t>
            </w:r>
          </w:p>
        </w:tc>
      </w:tr>
      <w:tr w:rsidR="00AD5381" w:rsidRPr="00AD5381" w14:paraId="0E03B5A5" w14:textId="77777777" w:rsidTr="00641B7C">
        <w:trPr>
          <w:trHeight w:val="929"/>
        </w:trPr>
        <w:tc>
          <w:tcPr>
            <w:tcW w:w="582" w:type="dxa"/>
          </w:tcPr>
          <w:p w14:paraId="5B29090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13.</w:t>
            </w:r>
          </w:p>
        </w:tc>
        <w:tc>
          <w:tcPr>
            <w:tcW w:w="2835" w:type="dxa"/>
          </w:tcPr>
          <w:p w14:paraId="504C90A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Неврегульованість механізму здійснення контролю за дотриманням антикорупційного законодавства, у тому числі в діяльності юридичних осіб, що знаходіться у сфері управління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14:paraId="2457716D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Розроблення порядку взаємодії головного спеціаліста з антикорупційних питань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та уповноважених з питань запобігання корупції юридичних осіб, що знаходіться у сфері управління </w:t>
            </w:r>
            <w:proofErr w:type="spellStart"/>
            <w:r w:rsidRPr="00AD5381">
              <w:rPr>
                <w:rFonts w:cs="Times New Roman"/>
                <w:lang w:eastAsia="en-US"/>
              </w:rPr>
              <w:t>Мінмолодьспорту</w:t>
            </w:r>
            <w:proofErr w:type="spellEnd"/>
            <w:r w:rsidRPr="00AD5381">
              <w:rPr>
                <w:rFonts w:cs="Times New Roman"/>
                <w:lang w:eastAsia="en-US"/>
              </w:rPr>
              <w:t xml:space="preserve"> та механізму здійснення контролю за дотриманням антикорупційного законодавства</w:t>
            </w:r>
          </w:p>
        </w:tc>
        <w:tc>
          <w:tcPr>
            <w:tcW w:w="1672" w:type="dxa"/>
          </w:tcPr>
          <w:p w14:paraId="49A732FF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Головний спеціаліст з антикорупційних питань</w:t>
            </w:r>
          </w:p>
        </w:tc>
        <w:tc>
          <w:tcPr>
            <w:tcW w:w="1245" w:type="dxa"/>
          </w:tcPr>
          <w:p w14:paraId="2E5C36A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2020 року</w:t>
            </w:r>
          </w:p>
        </w:tc>
        <w:tc>
          <w:tcPr>
            <w:tcW w:w="2410" w:type="dxa"/>
          </w:tcPr>
          <w:p w14:paraId="22A99297" w14:textId="04E8DB7B" w:rsidR="00CD0C71" w:rsidRPr="00AD5381" w:rsidRDefault="00CD0C71" w:rsidP="00641B7C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Видано наказ </w:t>
            </w:r>
            <w:proofErr w:type="spellStart"/>
            <w:r>
              <w:rPr>
                <w:rFonts w:cs="Times New Roman"/>
                <w:lang w:eastAsia="en-US"/>
              </w:rPr>
              <w:t>Мінмолодьспорту</w:t>
            </w:r>
            <w:proofErr w:type="spellEnd"/>
            <w:r>
              <w:rPr>
                <w:rFonts w:cs="Times New Roman"/>
                <w:lang w:eastAsia="en-US"/>
              </w:rPr>
              <w:t xml:space="preserve"> від 02.12.2020  </w:t>
            </w:r>
            <w:r w:rsidR="009D69C9">
              <w:rPr>
                <w:rFonts w:cs="Times New Roman"/>
                <w:lang w:eastAsia="en-US"/>
              </w:rPr>
              <w:t xml:space="preserve">                  </w:t>
            </w:r>
            <w:r>
              <w:rPr>
                <w:rFonts w:cs="Times New Roman"/>
                <w:lang w:eastAsia="en-US"/>
              </w:rPr>
              <w:t xml:space="preserve">№ 2730  Про затвердження Порядку проведення </w:t>
            </w:r>
            <w:proofErr w:type="spellStart"/>
            <w:r>
              <w:rPr>
                <w:rFonts w:cs="Times New Roman"/>
                <w:lang w:eastAsia="en-US"/>
              </w:rPr>
              <w:t>Мінмолодьспортом</w:t>
            </w:r>
            <w:proofErr w:type="spellEnd"/>
            <w:r>
              <w:rPr>
                <w:rFonts w:cs="Times New Roman"/>
                <w:lang w:eastAsia="en-US"/>
              </w:rPr>
              <w:t xml:space="preserve"> перевірок діяльності державних підприємств, установ та організацій, що належать до сфери управління </w:t>
            </w:r>
            <w:proofErr w:type="spellStart"/>
            <w:r>
              <w:rPr>
                <w:rFonts w:cs="Times New Roman"/>
                <w:lang w:eastAsia="en-US"/>
              </w:rPr>
              <w:t>Мінмолодьспорту</w:t>
            </w:r>
            <w:proofErr w:type="spellEnd"/>
            <w:r>
              <w:rPr>
                <w:rFonts w:cs="Times New Roman"/>
                <w:lang w:eastAsia="en-US"/>
              </w:rPr>
              <w:t xml:space="preserve">», Затверджено план перевірок діяльності державних підприємств та установ, що належать до сфери управління </w:t>
            </w:r>
            <w:proofErr w:type="spellStart"/>
            <w:r>
              <w:rPr>
                <w:rFonts w:cs="Times New Roman"/>
                <w:lang w:eastAsia="en-US"/>
              </w:rPr>
              <w:t>Мінмолодьспорту</w:t>
            </w:r>
            <w:proofErr w:type="spellEnd"/>
            <w:r>
              <w:rPr>
                <w:rFonts w:cs="Times New Roman"/>
                <w:lang w:eastAsia="en-US"/>
              </w:rPr>
              <w:t xml:space="preserve"> на 2021 рік</w:t>
            </w:r>
          </w:p>
        </w:tc>
        <w:tc>
          <w:tcPr>
            <w:tcW w:w="3260" w:type="dxa"/>
          </w:tcPr>
          <w:p w14:paraId="5E69703D" w14:textId="15DCAF93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</w:t>
            </w:r>
            <w:r w:rsidR="00466F55">
              <w:rPr>
                <w:rFonts w:cs="Times New Roman"/>
                <w:lang w:eastAsia="en-US"/>
              </w:rPr>
              <w:t>ИКОНАНО</w:t>
            </w:r>
          </w:p>
        </w:tc>
      </w:tr>
      <w:tr w:rsidR="00AD5381" w:rsidRPr="00AD5381" w14:paraId="36979649" w14:textId="77777777" w:rsidTr="00FB2A1B">
        <w:trPr>
          <w:trHeight w:val="410"/>
        </w:trPr>
        <w:tc>
          <w:tcPr>
            <w:tcW w:w="15304" w:type="dxa"/>
            <w:gridSpan w:val="7"/>
          </w:tcPr>
          <w:p w14:paraId="3F5C3A7B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  <w:p w14:paraId="503C5BB9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AD5381">
              <w:rPr>
                <w:rFonts w:cs="Times New Roman"/>
                <w:b/>
                <w:bCs/>
                <w:lang w:eastAsia="en-US"/>
              </w:rPr>
              <w:t>ІНШІ ЗАХОДИ,   ПЕРЕДБАЧЕНІ   АНТИКОРУПЦІЙНОЮ   ПРОГРАМОЮ</w:t>
            </w:r>
          </w:p>
        </w:tc>
      </w:tr>
      <w:tr w:rsidR="00AD5381" w:rsidRPr="00AD5381" w14:paraId="6F5B7F7F" w14:textId="77777777" w:rsidTr="00FB2A1B">
        <w:trPr>
          <w:trHeight w:val="410"/>
        </w:trPr>
        <w:tc>
          <w:tcPr>
            <w:tcW w:w="582" w:type="dxa"/>
          </w:tcPr>
          <w:p w14:paraId="706D2C5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1.</w:t>
            </w:r>
          </w:p>
        </w:tc>
        <w:tc>
          <w:tcPr>
            <w:tcW w:w="2835" w:type="dxa"/>
          </w:tcPr>
          <w:p w14:paraId="274AB377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Навчальній захід, проведений головним спеціалістом з антикорупційних питань</w:t>
            </w:r>
          </w:p>
        </w:tc>
        <w:tc>
          <w:tcPr>
            <w:tcW w:w="3300" w:type="dxa"/>
            <w:shd w:val="clear" w:color="auto" w:fill="auto"/>
          </w:tcPr>
          <w:p w14:paraId="77D395FF" w14:textId="77777777" w:rsidR="00AD5381" w:rsidRPr="00AD5381" w:rsidRDefault="00AD5381" w:rsidP="00AD5381">
            <w:pPr>
              <w:widowControl w:val="0"/>
              <w:numPr>
                <w:ilvl w:val="0"/>
                <w:numId w:val="1"/>
              </w:numPr>
              <w:suppressAutoHyphens w:val="0"/>
              <w:spacing w:after="160" w:line="259" w:lineRule="auto"/>
              <w:ind w:firstLine="360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AD5381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Правове регулювання діяльності уповноважених підрозділів (осіб) з питань запобігання та виявлення корупції.</w:t>
            </w:r>
          </w:p>
          <w:p w14:paraId="0B2E5991" w14:textId="77777777" w:rsidR="00AD5381" w:rsidRPr="00AD5381" w:rsidRDefault="00AD5381" w:rsidP="00AD5381">
            <w:pPr>
              <w:widowControl w:val="0"/>
              <w:numPr>
                <w:ilvl w:val="0"/>
                <w:numId w:val="1"/>
              </w:numPr>
              <w:suppressAutoHyphens w:val="0"/>
              <w:spacing w:after="160" w:line="259" w:lineRule="auto"/>
              <w:ind w:firstLine="360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AD5381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Антикорупційна програма юридичної особи.</w:t>
            </w:r>
          </w:p>
          <w:p w14:paraId="23CAECCE" w14:textId="77777777" w:rsidR="00AD5381" w:rsidRDefault="00AD5381" w:rsidP="00AD5381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AD5381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Оцінка корупційних ризиків, підготовка заходів щодо їх усунення</w:t>
            </w:r>
          </w:p>
          <w:p w14:paraId="0C2EC1F5" w14:textId="0A84CD76" w:rsidR="00CD0C71" w:rsidRPr="00AD5381" w:rsidRDefault="00CD0C7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1672" w:type="dxa"/>
          </w:tcPr>
          <w:p w14:paraId="78D382E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Уповноважені особи підприємств, установ, організацій, що належать до сфери управління </w:t>
            </w:r>
            <w:proofErr w:type="spellStart"/>
            <w:r w:rsidRPr="00AD5381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Мінмолодь</w:t>
            </w:r>
            <w:proofErr w:type="spellEnd"/>
            <w:r w:rsidRPr="00AD5381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 спорту</w:t>
            </w:r>
          </w:p>
        </w:tc>
        <w:tc>
          <w:tcPr>
            <w:tcW w:w="1245" w:type="dxa"/>
          </w:tcPr>
          <w:p w14:paraId="6551F33E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ІІІ квартал 2020 року</w:t>
            </w:r>
          </w:p>
        </w:tc>
        <w:tc>
          <w:tcPr>
            <w:tcW w:w="2410" w:type="dxa"/>
          </w:tcPr>
          <w:p w14:paraId="13ED8032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Проведено 06.08.2020</w:t>
            </w:r>
          </w:p>
        </w:tc>
        <w:tc>
          <w:tcPr>
            <w:tcW w:w="3260" w:type="dxa"/>
          </w:tcPr>
          <w:p w14:paraId="195BBC82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ВИКОНАНО</w:t>
            </w:r>
          </w:p>
        </w:tc>
      </w:tr>
      <w:tr w:rsidR="00CD0C71" w:rsidRPr="00AD5381" w14:paraId="3B030B05" w14:textId="77777777" w:rsidTr="00FB2A1B">
        <w:trPr>
          <w:trHeight w:val="410"/>
        </w:trPr>
        <w:tc>
          <w:tcPr>
            <w:tcW w:w="582" w:type="dxa"/>
          </w:tcPr>
          <w:p w14:paraId="2E82CF6C" w14:textId="3A07DC78" w:rsidR="00CD0C71" w:rsidRPr="00AD5381" w:rsidRDefault="00CD0C7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2.</w:t>
            </w:r>
          </w:p>
        </w:tc>
        <w:tc>
          <w:tcPr>
            <w:tcW w:w="2835" w:type="dxa"/>
          </w:tcPr>
          <w:p w14:paraId="6B5C3F11" w14:textId="1D3DB3E4" w:rsidR="00CD0C71" w:rsidRPr="00AD5381" w:rsidRDefault="00CD0C7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Навчальній захід, проведений головним спеціалістом з антикорупційних питань</w:t>
            </w:r>
          </w:p>
        </w:tc>
        <w:tc>
          <w:tcPr>
            <w:tcW w:w="3300" w:type="dxa"/>
            <w:shd w:val="clear" w:color="auto" w:fill="auto"/>
          </w:tcPr>
          <w:p w14:paraId="3B464797" w14:textId="77777777" w:rsidR="00CD0C71" w:rsidRDefault="00CD0C71" w:rsidP="00CD0C71">
            <w:pPr>
              <w:pStyle w:val="a7"/>
              <w:widowControl w:val="0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CD0C71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Поняття потенційного/реального конфлікту інтересів, запобігання його виникненню та шляхи їх врегулювання.</w:t>
            </w:r>
          </w:p>
          <w:p w14:paraId="4CEC7167" w14:textId="01F5AC50" w:rsidR="00CD0C71" w:rsidRPr="00CD0C71" w:rsidRDefault="00CD0C71" w:rsidP="00CD0C71">
            <w:pPr>
              <w:pStyle w:val="a7"/>
              <w:widowControl w:val="0"/>
              <w:numPr>
                <w:ilvl w:val="0"/>
                <w:numId w:val="4"/>
              </w:numPr>
              <w:suppressAutoHyphens w:val="0"/>
              <w:spacing w:after="160" w:line="259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Обмеження щодо роботи близьких осіб</w:t>
            </w:r>
          </w:p>
        </w:tc>
        <w:tc>
          <w:tcPr>
            <w:tcW w:w="1672" w:type="dxa"/>
          </w:tcPr>
          <w:p w14:paraId="25C74A92" w14:textId="5331BC7D" w:rsidR="00CD0C71" w:rsidRPr="00AD5381" w:rsidRDefault="00CD0C71" w:rsidP="00AD5381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Службові та посадові особи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Мінмолодьспорту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, керівники та уповноважені особи підприємств, установ, організацій, що належать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lastRenderedPageBreak/>
              <w:t>до сфери управління</w:t>
            </w:r>
          </w:p>
        </w:tc>
        <w:tc>
          <w:tcPr>
            <w:tcW w:w="1245" w:type="dxa"/>
          </w:tcPr>
          <w:p w14:paraId="698487D2" w14:textId="7495D373" w:rsidR="00CD0C71" w:rsidRPr="00AD5381" w:rsidRDefault="00CD0C7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lastRenderedPageBreak/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2020 року</w:t>
            </w:r>
          </w:p>
        </w:tc>
        <w:tc>
          <w:tcPr>
            <w:tcW w:w="2410" w:type="dxa"/>
          </w:tcPr>
          <w:p w14:paraId="3995A3FD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30.12.2020</w:t>
            </w:r>
          </w:p>
          <w:p w14:paraId="64CB59F9" w14:textId="3EE6DC13" w:rsidR="00CD0C71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Презентація </w:t>
            </w:r>
          </w:p>
          <w:p w14:paraId="1C5B79C1" w14:textId="18E7BDB7" w:rsidR="00641B7C" w:rsidRPr="00AD5381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«Застосування антикорупційного законодавства щодо запобігання та врегулювання конфлікту інтересів в діяльності державних службовців»"</w:t>
            </w:r>
          </w:p>
        </w:tc>
        <w:tc>
          <w:tcPr>
            <w:tcW w:w="3260" w:type="dxa"/>
          </w:tcPr>
          <w:p w14:paraId="7C5A9B41" w14:textId="079F3074" w:rsidR="00CD0C71" w:rsidRPr="00AD5381" w:rsidRDefault="00641B7C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ВИКОНАНО</w:t>
            </w:r>
          </w:p>
        </w:tc>
      </w:tr>
      <w:tr w:rsidR="00AD5381" w:rsidRPr="00AD5381" w14:paraId="63D7BD0E" w14:textId="77777777" w:rsidTr="00FB2A1B">
        <w:trPr>
          <w:trHeight w:val="410"/>
        </w:trPr>
        <w:tc>
          <w:tcPr>
            <w:tcW w:w="582" w:type="dxa"/>
          </w:tcPr>
          <w:p w14:paraId="243714C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2</w:t>
            </w:r>
          </w:p>
        </w:tc>
        <w:tc>
          <w:tcPr>
            <w:tcW w:w="2835" w:type="dxa"/>
          </w:tcPr>
          <w:p w14:paraId="7025415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Роз’яснення вимог антикорупційного законодавства</w:t>
            </w:r>
          </w:p>
        </w:tc>
        <w:tc>
          <w:tcPr>
            <w:tcW w:w="3300" w:type="dxa"/>
            <w:shd w:val="clear" w:color="auto" w:fill="auto"/>
          </w:tcPr>
          <w:p w14:paraId="60490DD5" w14:textId="77777777" w:rsidR="00AD5381" w:rsidRPr="00AD5381" w:rsidRDefault="00AD5381" w:rsidP="00AD5381">
            <w:pPr>
              <w:widowControl w:val="0"/>
              <w:suppressAutoHyphens w:val="0"/>
              <w:ind w:left="360"/>
              <w:contextualSpacing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672" w:type="dxa"/>
          </w:tcPr>
          <w:p w14:paraId="6DA49332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245" w:type="dxa"/>
          </w:tcPr>
          <w:p w14:paraId="5DAFD7CE" w14:textId="6E7325FD" w:rsidR="00AD5381" w:rsidRPr="00AD5381" w:rsidRDefault="009D69C9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Щотижнево</w:t>
            </w:r>
          </w:p>
        </w:tc>
        <w:tc>
          <w:tcPr>
            <w:tcW w:w="2410" w:type="dxa"/>
          </w:tcPr>
          <w:p w14:paraId="3DF6D061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Щотижневі публікації</w:t>
            </w:r>
          </w:p>
        </w:tc>
        <w:tc>
          <w:tcPr>
            <w:tcW w:w="3260" w:type="dxa"/>
          </w:tcPr>
          <w:p w14:paraId="40A4EB36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 xml:space="preserve">ВИКОНУЄТЬСЯ </w:t>
            </w:r>
          </w:p>
          <w:p w14:paraId="11E04585" w14:textId="77777777" w:rsidR="00AD5381" w:rsidRPr="00AD5381" w:rsidRDefault="00AD5381" w:rsidP="00AD5381">
            <w:pPr>
              <w:suppressAutoHyphens w:val="0"/>
              <w:spacing w:after="160" w:line="259" w:lineRule="auto"/>
              <w:jc w:val="center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на постійній основі</w:t>
            </w:r>
          </w:p>
        </w:tc>
      </w:tr>
      <w:tr w:rsidR="00AD5381" w:rsidRPr="00AD5381" w14:paraId="0580738C" w14:textId="77777777" w:rsidTr="00FB2A1B">
        <w:trPr>
          <w:trHeight w:val="410"/>
        </w:trPr>
        <w:tc>
          <w:tcPr>
            <w:tcW w:w="582" w:type="dxa"/>
          </w:tcPr>
          <w:p w14:paraId="667CB5B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/>
                <w:lang w:eastAsia="en-US"/>
              </w:rPr>
            </w:pPr>
            <w:r w:rsidRPr="00AD5381">
              <w:rPr>
                <w:rFonts w:cs="Times New Roman"/>
                <w:b/>
                <w:lang w:eastAsia="en-US"/>
              </w:rPr>
              <w:t>3</w:t>
            </w:r>
          </w:p>
        </w:tc>
        <w:tc>
          <w:tcPr>
            <w:tcW w:w="2835" w:type="dxa"/>
          </w:tcPr>
          <w:p w14:paraId="59537848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Навчальні заходи, у яких забезпечено учать головного спеціаліста з антикорупційних питань</w:t>
            </w:r>
          </w:p>
        </w:tc>
        <w:tc>
          <w:tcPr>
            <w:tcW w:w="3300" w:type="dxa"/>
            <w:shd w:val="clear" w:color="auto" w:fill="auto"/>
          </w:tcPr>
          <w:p w14:paraId="723A3D57" w14:textId="77777777" w:rsidR="00AD5381" w:rsidRPr="00AD5381" w:rsidRDefault="00AD5381" w:rsidP="00641B7C">
            <w:pPr>
              <w:widowControl w:val="0"/>
              <w:numPr>
                <w:ilvl w:val="0"/>
                <w:numId w:val="2"/>
              </w:numPr>
              <w:suppressAutoHyphens w:val="0"/>
              <w:spacing w:after="160" w:line="259" w:lineRule="auto"/>
              <w:ind w:left="-122" w:firstLine="482"/>
              <w:contextualSpacing/>
              <w:jc w:val="both"/>
              <w:rPr>
                <w:rFonts w:eastAsia="Courier New" w:cs="Times New Roman"/>
                <w:color w:val="000000"/>
                <w:lang w:eastAsia="uk-UA"/>
              </w:rPr>
            </w:pPr>
            <w:r w:rsidRPr="00AD5381">
              <w:rPr>
                <w:rFonts w:eastAsia="Courier New" w:cs="Times New Roman"/>
                <w:color w:val="000000"/>
                <w:lang w:eastAsia="uk-UA"/>
              </w:rPr>
              <w:t xml:space="preserve">Онлайн-конференція «Антикорупційних </w:t>
            </w:r>
            <w:proofErr w:type="spellStart"/>
            <w:r w:rsidRPr="00AD5381">
              <w:rPr>
                <w:rFonts w:eastAsia="Courier New" w:cs="Times New Roman"/>
                <w:color w:val="000000"/>
                <w:lang w:eastAsia="uk-UA"/>
              </w:rPr>
              <w:t>комплаєнс</w:t>
            </w:r>
            <w:proofErr w:type="spellEnd"/>
            <w:r w:rsidRPr="00AD5381">
              <w:rPr>
                <w:rFonts w:eastAsia="Courier New" w:cs="Times New Roman"/>
                <w:color w:val="000000"/>
                <w:lang w:eastAsia="uk-UA"/>
              </w:rPr>
              <w:t xml:space="preserve"> – погляд юриста»</w:t>
            </w:r>
          </w:p>
          <w:p w14:paraId="3F5034FB" w14:textId="77777777" w:rsidR="00AD5381" w:rsidRPr="00AD5381" w:rsidRDefault="00AD5381" w:rsidP="00AD53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60" w:line="259" w:lineRule="auto"/>
              <w:contextualSpacing/>
              <w:rPr>
                <w:rFonts w:eastAsia="Times New Roman" w:cs="Times New Roman"/>
                <w:color w:val="000000"/>
                <w:lang w:eastAsia="uk-UA"/>
              </w:rPr>
            </w:pPr>
            <w:proofErr w:type="spellStart"/>
            <w:r w:rsidRPr="00AD5381">
              <w:rPr>
                <w:rFonts w:eastAsia="Times New Roman" w:cs="Times New Roman"/>
                <w:color w:val="000000"/>
                <w:lang w:eastAsia="uk-UA"/>
              </w:rPr>
              <w:t>Вебінар</w:t>
            </w:r>
            <w:proofErr w:type="spellEnd"/>
            <w:r w:rsidRPr="00AD5381">
              <w:rPr>
                <w:rFonts w:eastAsia="Times New Roman" w:cs="Times New Roman"/>
                <w:color w:val="000000"/>
                <w:lang w:eastAsia="uk-UA"/>
              </w:rPr>
              <w:t xml:space="preserve"> НАЗК </w:t>
            </w:r>
          </w:p>
          <w:p w14:paraId="030D5D20" w14:textId="011289D1" w:rsidR="00AD5381" w:rsidRDefault="00AD5381" w:rsidP="00641B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 w:rsidRPr="00AD5381">
              <w:rPr>
                <w:rFonts w:eastAsia="Times New Roman" w:cs="Times New Roman"/>
                <w:color w:val="000000"/>
                <w:lang w:eastAsia="uk-UA"/>
              </w:rPr>
              <w:t>на тему: «Функціонал антикорупційного уповноваженого згідно з типовим положенням».</w:t>
            </w:r>
          </w:p>
          <w:p w14:paraId="3F3DC8D4" w14:textId="110C07AE" w:rsidR="00641B7C" w:rsidRPr="00641B7C" w:rsidRDefault="00641B7C" w:rsidP="00641B7C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360"/>
              <w:jc w:val="both"/>
              <w:rPr>
                <w:rFonts w:eastAsia="Times New Roman" w:cs="Times New Roman"/>
                <w:color w:val="000000"/>
                <w:lang w:eastAsia="uk-UA"/>
              </w:rPr>
            </w:pPr>
            <w:r>
              <w:rPr>
                <w:rFonts w:eastAsia="Times New Roman" w:cs="Times New Roman"/>
                <w:color w:val="000000"/>
                <w:lang w:eastAsia="uk-UA"/>
              </w:rPr>
              <w:t>Підвищення кваліфікації за програмою «Організація роботи з викривачами корупції у державних органах та органах місцевого самоврядування»</w:t>
            </w:r>
          </w:p>
          <w:p w14:paraId="1A8B3FC2" w14:textId="18725F11" w:rsidR="00E02356" w:rsidRPr="00E02356" w:rsidRDefault="00E02356" w:rsidP="00E02356">
            <w:pPr>
              <w:pStyle w:val="a7"/>
              <w:numPr>
                <w:ilvl w:val="0"/>
                <w:numId w:val="2"/>
              </w:numPr>
              <w:ind w:left="-122" w:firstLine="482"/>
              <w:jc w:val="both"/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333333"/>
              </w:rPr>
              <w:t>В</w:t>
            </w:r>
            <w:r w:rsidRPr="00E02356">
              <w:rPr>
                <w:rFonts w:cs="Times New Roman"/>
                <w:color w:val="333333"/>
              </w:rPr>
              <w:t>ербінар</w:t>
            </w:r>
            <w:proofErr w:type="spellEnd"/>
            <w:r w:rsidRPr="00E02356">
              <w:rPr>
                <w:rFonts w:cs="Times New Roman"/>
                <w:color w:val="333333"/>
              </w:rPr>
              <w:t xml:space="preserve"> «Як викривачу зберегти свою анонімність», підготовленого ИТ-компанією </w:t>
            </w:r>
            <w:proofErr w:type="spellStart"/>
            <w:r w:rsidRPr="00E02356">
              <w:rPr>
                <w:rFonts w:cs="Times New Roman"/>
                <w:color w:val="333333"/>
                <w:lang w:val="en-US"/>
              </w:rPr>
              <w:t>Ethscontrol</w:t>
            </w:r>
            <w:proofErr w:type="spellEnd"/>
            <w:r w:rsidRPr="00E02356">
              <w:rPr>
                <w:rFonts w:cs="Times New Roman"/>
                <w:color w:val="333333"/>
              </w:rPr>
              <w:t xml:space="preserve">. </w:t>
            </w:r>
          </w:p>
          <w:p w14:paraId="32BA433B" w14:textId="77777777" w:rsidR="00AD5381" w:rsidRPr="00AD5381" w:rsidRDefault="00AD5381" w:rsidP="00AD53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1672" w:type="dxa"/>
          </w:tcPr>
          <w:p w14:paraId="2EB20787" w14:textId="59CE8651" w:rsidR="00AD5381" w:rsidRPr="00641B7C" w:rsidRDefault="00AD5381" w:rsidP="00641B7C">
            <w:pPr>
              <w:pStyle w:val="a7"/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1245" w:type="dxa"/>
          </w:tcPr>
          <w:p w14:paraId="7E11698F" w14:textId="77777777" w:rsid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ІІІ квартал 2020 року</w:t>
            </w:r>
          </w:p>
          <w:p w14:paraId="40556E20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34C8077E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0055A15A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</w:p>
          <w:p w14:paraId="7ED78F65" w14:textId="701BB1AA" w:rsidR="00641B7C" w:rsidRPr="00AD5381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bCs/>
                <w:lang w:eastAsia="en-US"/>
              </w:rPr>
            </w:pPr>
            <w:r w:rsidRPr="00AD5381">
              <w:rPr>
                <w:rFonts w:cs="Times New Roman"/>
                <w:bCs/>
                <w:lang w:eastAsia="en-US"/>
              </w:rPr>
              <w:t>І</w:t>
            </w:r>
            <w:r w:rsidRPr="00AD5381">
              <w:rPr>
                <w:rFonts w:cs="Times New Roman"/>
                <w:bCs/>
                <w:lang w:val="en-US" w:eastAsia="en-US"/>
              </w:rPr>
              <w:t>V</w:t>
            </w:r>
            <w:r w:rsidRPr="00AD5381">
              <w:rPr>
                <w:rFonts w:cs="Times New Roman"/>
                <w:bCs/>
                <w:lang w:eastAsia="en-US"/>
              </w:rPr>
              <w:t xml:space="preserve"> квартал 2020 року</w:t>
            </w:r>
          </w:p>
        </w:tc>
        <w:tc>
          <w:tcPr>
            <w:tcW w:w="2410" w:type="dxa"/>
          </w:tcPr>
          <w:p w14:paraId="2EA50F3A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09.09.2020</w:t>
            </w:r>
          </w:p>
          <w:p w14:paraId="0D45EF87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4F02BE25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32BDE03F" w14:textId="77777777" w:rsid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07.09.2020</w:t>
            </w:r>
          </w:p>
          <w:p w14:paraId="679E28A3" w14:textId="77777777" w:rsidR="00641B7C" w:rsidRPr="00641B7C" w:rsidRDefault="00641B7C" w:rsidP="00641B7C">
            <w:pPr>
              <w:rPr>
                <w:rFonts w:cs="Times New Roman"/>
                <w:lang w:eastAsia="en-US"/>
              </w:rPr>
            </w:pPr>
          </w:p>
          <w:p w14:paraId="77E191DB" w14:textId="77777777" w:rsidR="00641B7C" w:rsidRPr="00641B7C" w:rsidRDefault="00641B7C" w:rsidP="00641B7C">
            <w:pPr>
              <w:rPr>
                <w:rFonts w:cs="Times New Roman"/>
                <w:lang w:eastAsia="en-US"/>
              </w:rPr>
            </w:pPr>
          </w:p>
          <w:p w14:paraId="1F98099B" w14:textId="77777777" w:rsidR="00641B7C" w:rsidRPr="00641B7C" w:rsidRDefault="00641B7C" w:rsidP="00641B7C">
            <w:pPr>
              <w:rPr>
                <w:rFonts w:cs="Times New Roman"/>
                <w:lang w:eastAsia="en-US"/>
              </w:rPr>
            </w:pPr>
          </w:p>
          <w:p w14:paraId="12896240" w14:textId="77777777" w:rsidR="00641B7C" w:rsidRDefault="00641B7C" w:rsidP="00641B7C">
            <w:pPr>
              <w:rPr>
                <w:rFonts w:cs="Times New Roman"/>
                <w:lang w:eastAsia="en-US"/>
              </w:rPr>
            </w:pPr>
          </w:p>
          <w:p w14:paraId="5E47D8D6" w14:textId="77777777" w:rsidR="00641B7C" w:rsidRDefault="00641B7C" w:rsidP="00641B7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02-06.11.2020</w:t>
            </w:r>
          </w:p>
          <w:p w14:paraId="6067A395" w14:textId="77777777" w:rsidR="009D69C9" w:rsidRDefault="009D69C9" w:rsidP="00641B7C">
            <w:pPr>
              <w:rPr>
                <w:rFonts w:cs="Times New Roman"/>
                <w:lang w:eastAsia="en-US"/>
              </w:rPr>
            </w:pPr>
          </w:p>
          <w:p w14:paraId="0199AD0E" w14:textId="77777777" w:rsidR="009D69C9" w:rsidRDefault="009D69C9" w:rsidP="00641B7C">
            <w:pPr>
              <w:rPr>
                <w:rFonts w:cs="Times New Roman"/>
                <w:lang w:eastAsia="en-US"/>
              </w:rPr>
            </w:pPr>
          </w:p>
          <w:p w14:paraId="69A29FB2" w14:textId="77777777" w:rsidR="009D69C9" w:rsidRDefault="009D69C9" w:rsidP="00641B7C">
            <w:pPr>
              <w:rPr>
                <w:rFonts w:cs="Times New Roman"/>
                <w:lang w:eastAsia="en-US"/>
              </w:rPr>
            </w:pPr>
          </w:p>
          <w:p w14:paraId="374582CF" w14:textId="353E8BCB" w:rsidR="009D69C9" w:rsidRPr="00641B7C" w:rsidRDefault="009D69C9" w:rsidP="00641B7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30.10.2020</w:t>
            </w:r>
          </w:p>
        </w:tc>
        <w:tc>
          <w:tcPr>
            <w:tcW w:w="3260" w:type="dxa"/>
          </w:tcPr>
          <w:p w14:paraId="00B81239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Забезпечено участь</w:t>
            </w:r>
          </w:p>
          <w:p w14:paraId="309FD213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7E4AF3AC" w14:textId="77777777" w:rsidR="00AD5381" w:rsidRP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406F7B34" w14:textId="77777777" w:rsidR="00AD5381" w:rsidRDefault="00AD5381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 w:rsidRPr="00AD5381">
              <w:rPr>
                <w:rFonts w:cs="Times New Roman"/>
                <w:lang w:eastAsia="en-US"/>
              </w:rPr>
              <w:t>Забезпечено участь</w:t>
            </w:r>
          </w:p>
          <w:p w14:paraId="2BC18555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3267ABB6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1B9935FE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37D0BD22" w14:textId="77777777" w:rsidR="00641B7C" w:rsidRDefault="00641B7C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Отримано сертифікат</w:t>
            </w:r>
          </w:p>
          <w:p w14:paraId="085AA1DC" w14:textId="77777777" w:rsidR="00E02356" w:rsidRDefault="00E02356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</w:p>
          <w:p w14:paraId="1C7311D9" w14:textId="18DF55D7" w:rsidR="00E02356" w:rsidRPr="00AD5381" w:rsidRDefault="00E02356" w:rsidP="00AD5381">
            <w:pPr>
              <w:suppressAutoHyphens w:val="0"/>
              <w:spacing w:after="160" w:line="259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Забезпечено участь</w:t>
            </w:r>
          </w:p>
        </w:tc>
      </w:tr>
      <w:bookmarkEnd w:id="0"/>
    </w:tbl>
    <w:p w14:paraId="2BDD80CD" w14:textId="77777777" w:rsidR="00AD5381" w:rsidRPr="00AD5381" w:rsidRDefault="00AD5381" w:rsidP="00AD5381">
      <w:pPr>
        <w:suppressAutoHyphens w:val="0"/>
        <w:spacing w:after="160" w:line="259" w:lineRule="auto"/>
        <w:rPr>
          <w:rFonts w:cs="Times New Roman"/>
          <w:lang w:eastAsia="en-US"/>
        </w:rPr>
      </w:pPr>
    </w:p>
    <w:p w14:paraId="6BA30220" w14:textId="043273C3" w:rsidR="00AD5381" w:rsidRPr="00AD5381" w:rsidRDefault="00AD5381" w:rsidP="00AD5381">
      <w:pPr>
        <w:suppressAutoHyphens w:val="0"/>
        <w:spacing w:after="160" w:line="259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Завідувач сектору з питань запобігання та виявлення корупції</w:t>
      </w:r>
      <w:r w:rsidRPr="00AD5381">
        <w:rPr>
          <w:rFonts w:cs="Times New Roman"/>
          <w:sz w:val="28"/>
          <w:szCs w:val="28"/>
          <w:lang w:eastAsia="en-US"/>
        </w:rPr>
        <w:t xml:space="preserve">                                                                           Наталія ПАНАФЕДА</w:t>
      </w:r>
      <w:r w:rsidRPr="00AD5381">
        <w:rPr>
          <w:rFonts w:cs="Times New Roman"/>
          <w:sz w:val="28"/>
          <w:szCs w:val="28"/>
          <w:lang w:eastAsia="en-US"/>
        </w:rPr>
        <w:br w:type="textWrapping" w:clear="all"/>
      </w:r>
    </w:p>
    <w:p w14:paraId="679574AB" w14:textId="77777777" w:rsidR="00AD5381" w:rsidRPr="00AD5381" w:rsidRDefault="00AD5381" w:rsidP="00AD5381">
      <w:pPr>
        <w:suppressAutoHyphens w:val="0"/>
        <w:spacing w:after="160" w:line="259" w:lineRule="auto"/>
        <w:rPr>
          <w:rFonts w:cs="Times New Roman"/>
          <w:lang w:eastAsia="en-US"/>
        </w:rPr>
      </w:pPr>
    </w:p>
    <w:p w14:paraId="6BA9A573" w14:textId="77777777" w:rsidR="00AD5381" w:rsidRPr="00AD5381" w:rsidRDefault="00AD5381" w:rsidP="00AD5381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57D66A3F" w14:textId="77777777" w:rsidR="009E7641" w:rsidRDefault="009E7641"/>
    <w:sectPr w:rsidR="009E7641" w:rsidSect="00524D47">
      <w:headerReference w:type="default" r:id="rId7"/>
      <w:footerReference w:type="default" r:id="rId8"/>
      <w:pgSz w:w="16838" w:h="11906" w:orient="landscape" w:code="9"/>
      <w:pgMar w:top="567" w:right="397" w:bottom="28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A94C" w14:textId="77777777" w:rsidR="002371BF" w:rsidRDefault="002371BF">
      <w:r>
        <w:separator/>
      </w:r>
    </w:p>
  </w:endnote>
  <w:endnote w:type="continuationSeparator" w:id="0">
    <w:p w14:paraId="130B97AD" w14:textId="77777777" w:rsidR="002371BF" w:rsidRDefault="0023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3338" w14:textId="77777777" w:rsidR="008137DA" w:rsidRPr="00F44DD4" w:rsidRDefault="002371BF">
    <w:pPr>
      <w:pStyle w:val="a5"/>
      <w:jc w:val="right"/>
      <w:rPr>
        <w:rFonts w:ascii="Times New Roman" w:hAnsi="Times New Roman"/>
        <w:sz w:val="24"/>
      </w:rPr>
    </w:pPr>
  </w:p>
  <w:p w14:paraId="3B229CDF" w14:textId="77777777" w:rsidR="008137DA" w:rsidRDefault="00237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BF12" w14:textId="77777777" w:rsidR="002371BF" w:rsidRDefault="002371BF">
      <w:r>
        <w:separator/>
      </w:r>
    </w:p>
  </w:footnote>
  <w:footnote w:type="continuationSeparator" w:id="0">
    <w:p w14:paraId="41D60FFB" w14:textId="77777777" w:rsidR="002371BF" w:rsidRDefault="0023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6296277"/>
      <w:docPartObj>
        <w:docPartGallery w:val="Page Numbers (Top of Page)"/>
        <w:docPartUnique/>
      </w:docPartObj>
    </w:sdtPr>
    <w:sdtEndPr/>
    <w:sdtContent>
      <w:p w14:paraId="663D2B1B" w14:textId="77777777" w:rsidR="00524D47" w:rsidRDefault="00D257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B8E3D" w14:textId="77777777" w:rsidR="008137DA" w:rsidRPr="00C76190" w:rsidRDefault="002371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5636"/>
    <w:multiLevelType w:val="hybridMultilevel"/>
    <w:tmpl w:val="8E5E14E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7ED0"/>
    <w:multiLevelType w:val="hybridMultilevel"/>
    <w:tmpl w:val="5BC62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E58A1"/>
    <w:multiLevelType w:val="hybridMultilevel"/>
    <w:tmpl w:val="8F240510"/>
    <w:lvl w:ilvl="0" w:tplc="6088B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4BEF"/>
    <w:multiLevelType w:val="hybridMultilevel"/>
    <w:tmpl w:val="3984F9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81"/>
    <w:rsid w:val="00112C3B"/>
    <w:rsid w:val="00236969"/>
    <w:rsid w:val="002371BF"/>
    <w:rsid w:val="002809A8"/>
    <w:rsid w:val="00280E0B"/>
    <w:rsid w:val="00331120"/>
    <w:rsid w:val="00466F55"/>
    <w:rsid w:val="005B566F"/>
    <w:rsid w:val="00641B7C"/>
    <w:rsid w:val="009D69C9"/>
    <w:rsid w:val="009E07C8"/>
    <w:rsid w:val="009E7641"/>
    <w:rsid w:val="00AD5381"/>
    <w:rsid w:val="00CD0C71"/>
    <w:rsid w:val="00D257E3"/>
    <w:rsid w:val="00E02356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6CEA"/>
  <w15:chartTrackingRefBased/>
  <w15:docId w15:val="{F87F1E05-B803-4FAA-9CBC-A775EB5A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9A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81"/>
    <w:pPr>
      <w:tabs>
        <w:tab w:val="center" w:pos="4819"/>
        <w:tab w:val="right" w:pos="9639"/>
      </w:tabs>
      <w:suppressAutoHyphens w:val="0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AD5381"/>
  </w:style>
  <w:style w:type="paragraph" w:styleId="a5">
    <w:name w:val="footer"/>
    <w:basedOn w:val="a"/>
    <w:link w:val="a6"/>
    <w:uiPriority w:val="99"/>
    <w:unhideWhenUsed/>
    <w:rsid w:val="00AD5381"/>
    <w:pPr>
      <w:tabs>
        <w:tab w:val="center" w:pos="4819"/>
        <w:tab w:val="right" w:pos="9639"/>
      </w:tabs>
      <w:suppressAutoHyphens w:val="0"/>
    </w:pPr>
    <w:rPr>
      <w:rFonts w:asciiTheme="minorHAnsi" w:hAnsiTheme="minorHAns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AD5381"/>
  </w:style>
  <w:style w:type="paragraph" w:styleId="a7">
    <w:name w:val="List Paragraph"/>
    <w:basedOn w:val="a"/>
    <w:uiPriority w:val="34"/>
    <w:qFormat/>
    <w:rsid w:val="00CD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8308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Панафеда Наталія Миколаївна</dc:creator>
  <cp:keywords/>
  <dc:description/>
  <cp:lastModifiedBy>Панафеда Наталія Миколаївна</cp:lastModifiedBy>
  <cp:revision>2</cp:revision>
  <dcterms:created xsi:type="dcterms:W3CDTF">2021-01-14T08:07:00Z</dcterms:created>
  <dcterms:modified xsi:type="dcterms:W3CDTF">2021-01-14T08:07:00Z</dcterms:modified>
</cp:coreProperties>
</file>