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39FC" w14:textId="77777777" w:rsidR="00C16102" w:rsidRDefault="00E67DE6" w:rsidP="00E67DE6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0ED7BE77" w14:textId="5A034CB9" w:rsidR="00F45EE5" w:rsidRDefault="00E67DE6" w:rsidP="00E67DE6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листа Мінмолодьспорту</w:t>
      </w:r>
    </w:p>
    <w:p w14:paraId="0FF30A59" w14:textId="47E0F99F" w:rsidR="00E67DE6" w:rsidRDefault="00E67DE6" w:rsidP="0017153F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</w:t>
      </w:r>
      <w:r w:rsidR="0017153F">
        <w:rPr>
          <w:rFonts w:ascii="Times New Roman" w:hAnsi="Times New Roman" w:cs="Times New Roman"/>
          <w:sz w:val="24"/>
          <w:szCs w:val="24"/>
        </w:rPr>
        <w:t>надання інформації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2C769E7" w14:textId="6736AA8B" w:rsidR="00E67DE6" w:rsidRDefault="00E67DE6" w:rsidP="00E67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9786E" w14:textId="4FADC6DA" w:rsidR="00E67DE6" w:rsidRPr="0083045B" w:rsidRDefault="00F13DA8" w:rsidP="00E67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45B">
        <w:rPr>
          <w:rFonts w:ascii="Times New Roman" w:hAnsi="Times New Roman" w:cs="Times New Roman"/>
          <w:sz w:val="24"/>
          <w:szCs w:val="24"/>
        </w:rPr>
        <w:t xml:space="preserve">ІНФОРМАЦІЯ </w:t>
      </w:r>
    </w:p>
    <w:p w14:paraId="55650A0B" w14:textId="72780907" w:rsidR="00E67DE6" w:rsidRPr="00DA6674" w:rsidRDefault="00F13DA8" w:rsidP="00A53B1C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3045B">
        <w:rPr>
          <w:rFonts w:ascii="Times New Roman" w:hAnsi="Times New Roman" w:cs="Times New Roman"/>
          <w:sz w:val="24"/>
          <w:szCs w:val="24"/>
        </w:rPr>
        <w:t xml:space="preserve">щодо стану виконання плану заходів </w:t>
      </w:r>
      <w:r w:rsidR="00062035">
        <w:rPr>
          <w:rFonts w:ascii="Times New Roman" w:hAnsi="Times New Roman" w:cs="Times New Roman"/>
          <w:sz w:val="24"/>
          <w:szCs w:val="24"/>
        </w:rPr>
        <w:t>за І</w:t>
      </w:r>
      <w:r w:rsidR="001627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6203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67DE6" w:rsidRPr="0083045B">
        <w:rPr>
          <w:rFonts w:ascii="Times New Roman" w:hAnsi="Times New Roman" w:cs="Times New Roman"/>
          <w:sz w:val="24"/>
          <w:szCs w:val="24"/>
        </w:rPr>
        <w:t xml:space="preserve"> 2022 роки з реалізації Національної стратегії із створення безбар</w:t>
      </w:r>
      <w:r w:rsidR="00E67DE6" w:rsidRPr="00DA6674">
        <w:rPr>
          <w:rFonts w:ascii="Times New Roman" w:hAnsi="Times New Roman" w:cs="Times New Roman"/>
          <w:sz w:val="24"/>
          <w:szCs w:val="24"/>
        </w:rPr>
        <w:t>’</w:t>
      </w:r>
      <w:r w:rsidR="00E67DE6" w:rsidRPr="0083045B">
        <w:rPr>
          <w:rFonts w:ascii="Times New Roman" w:hAnsi="Times New Roman" w:cs="Times New Roman"/>
          <w:sz w:val="24"/>
          <w:szCs w:val="24"/>
        </w:rPr>
        <w:t>єрного простору в Україні на період до 2030 року</w:t>
      </w:r>
      <w:r w:rsidRPr="00830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F14E8" w14:textId="77777777" w:rsidR="00EE2038" w:rsidRPr="0083045B" w:rsidRDefault="00EE2038" w:rsidP="00E67D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6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3"/>
        <w:gridCol w:w="5467"/>
        <w:gridCol w:w="3685"/>
        <w:gridCol w:w="4961"/>
      </w:tblGrid>
      <w:tr w:rsidR="00322DC5" w:rsidRPr="0083045B" w14:paraId="7B6B80C5" w14:textId="50FFDE86" w:rsidTr="00A53B1C">
        <w:trPr>
          <w:trHeight w:val="1183"/>
        </w:trPr>
        <w:tc>
          <w:tcPr>
            <w:tcW w:w="633" w:type="dxa"/>
          </w:tcPr>
          <w:p w14:paraId="2076FD23" w14:textId="77777777" w:rsidR="00322DC5" w:rsidRPr="0083045B" w:rsidRDefault="00322DC5" w:rsidP="009C21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  <w:p w14:paraId="573B3D49" w14:textId="7087AFFA" w:rsidR="00322DC5" w:rsidRPr="0083045B" w:rsidRDefault="00322DC5" w:rsidP="009C21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14:paraId="301E3450" w14:textId="22F3871D" w:rsidR="00322DC5" w:rsidRPr="0083045B" w:rsidRDefault="00322DC5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3685" w:type="dxa"/>
          </w:tcPr>
          <w:p w14:paraId="16AB0BF0" w14:textId="42577487" w:rsidR="00322DC5" w:rsidRPr="0083045B" w:rsidRDefault="00322DC5" w:rsidP="009C21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4961" w:type="dxa"/>
          </w:tcPr>
          <w:p w14:paraId="58FE6015" w14:textId="124CCF8E" w:rsidR="00322DC5" w:rsidRPr="0083045B" w:rsidRDefault="00A53B1C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 виконання</w:t>
            </w:r>
          </w:p>
        </w:tc>
      </w:tr>
    </w:tbl>
    <w:p w14:paraId="53F3C2AC" w14:textId="77777777" w:rsidR="00C9053E" w:rsidRPr="00C9053E" w:rsidRDefault="00C9053E" w:rsidP="00E47CFD">
      <w:pPr>
        <w:spacing w:after="0"/>
        <w:rPr>
          <w:sz w:val="2"/>
          <w:szCs w:val="2"/>
        </w:rPr>
      </w:pPr>
    </w:p>
    <w:tbl>
      <w:tblPr>
        <w:tblStyle w:val="a3"/>
        <w:tblW w:w="14746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3"/>
        <w:gridCol w:w="5467"/>
        <w:gridCol w:w="3685"/>
        <w:gridCol w:w="4961"/>
      </w:tblGrid>
      <w:tr w:rsidR="00322DC5" w:rsidRPr="0083045B" w14:paraId="172C42F0" w14:textId="77777777" w:rsidTr="00A53B1C">
        <w:trPr>
          <w:trHeight w:val="78"/>
          <w:tblHeader/>
        </w:trPr>
        <w:tc>
          <w:tcPr>
            <w:tcW w:w="633" w:type="dxa"/>
          </w:tcPr>
          <w:p w14:paraId="038E320F" w14:textId="554CD469" w:rsidR="00322DC5" w:rsidRPr="0083045B" w:rsidRDefault="00322DC5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14:paraId="0123118A" w14:textId="7F7DAC90" w:rsidR="00322DC5" w:rsidRPr="0083045B" w:rsidRDefault="00322DC5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964956E" w14:textId="13520A26" w:rsidR="00322DC5" w:rsidRPr="0083045B" w:rsidRDefault="00322DC5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62C55C93" w14:textId="4D5C14C4" w:rsidR="00322DC5" w:rsidRPr="0083045B" w:rsidRDefault="00322DC5" w:rsidP="00A53B1C">
            <w:pPr>
              <w:ind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32AB" w:rsidRPr="0083045B" w14:paraId="0D387B41" w14:textId="77777777" w:rsidTr="00A53B1C">
        <w:trPr>
          <w:trHeight w:val="78"/>
        </w:trPr>
        <w:tc>
          <w:tcPr>
            <w:tcW w:w="633" w:type="dxa"/>
            <w:vMerge w:val="restart"/>
          </w:tcPr>
          <w:p w14:paraId="698BBDBE" w14:textId="09F90542" w:rsidR="00F232AB" w:rsidRPr="0083045B" w:rsidRDefault="00F232A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  <w:vMerge w:val="restart"/>
          </w:tcPr>
          <w:p w14:paraId="30FB00E2" w14:textId="0818640B" w:rsidR="00F232AB" w:rsidRPr="00B37284" w:rsidRDefault="00F232AB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ab/>
              <w:t>Формування мережі сучасних спортивних споруд за місцем проживання, у місцях масового відпочинку із забезпеченням їх доступності для різних верств населення, зокрема для осіб з інвалідністю та інших маломобільних груп населення</w:t>
            </w:r>
            <w:r w:rsidRPr="00B37284">
              <w:rPr>
                <w:rFonts w:ascii="Times New Roman" w:hAnsi="Times New Roman" w:cs="Times New Roman"/>
                <w:sz w:val="24"/>
                <w:szCs w:val="24"/>
              </w:rPr>
              <w:t>, 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рема для маломобільних груп населення, включаючи осіб з інвалідністю</w:t>
            </w:r>
          </w:p>
        </w:tc>
        <w:tc>
          <w:tcPr>
            <w:tcW w:w="3685" w:type="dxa"/>
          </w:tcPr>
          <w:p w14:paraId="285DB64B" w14:textId="02BB0C2C" w:rsidR="00F232AB" w:rsidRPr="00E47CFD" w:rsidRDefault="00F232AB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2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проведення аналізу фактичного забезпечення спортивними спорудами населення за місцем проживання та у місцях масового відпочинку, а також вивчення питання щодо їх доступності, відповідності соціальним стандартам та потребам територіальної громади (за винятком територіальних громад, розташованих у районах проведення воєнних (бойових) дій, або які перебувають у тимчасовій окупації, оточенні (блокуванні)</w:t>
            </w:r>
          </w:p>
        </w:tc>
        <w:tc>
          <w:tcPr>
            <w:tcW w:w="4961" w:type="dxa"/>
            <w:vMerge w:val="restart"/>
          </w:tcPr>
          <w:p w14:paraId="5EF2B094" w14:textId="258D3328" w:rsidR="00F232AB" w:rsidRPr="00F232AB" w:rsidRDefault="00F232AB" w:rsidP="00F23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Тимчасово не виконується</w:t>
            </w:r>
            <w:r w:rsidR="00DA6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2022 році.</w:t>
            </w: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488CE48" w14:textId="0224E3E1" w:rsidR="00F232AB" w:rsidRPr="00F232AB" w:rsidRDefault="00F232AB" w:rsidP="00F23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Відповідно до Указу Президента України «Про введення воєнного стану», затвердженого Законом України </w:t>
            </w:r>
            <w:r w:rsidR="00DA6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 24.02.2022 № 2102-IX у зв’язку з військовою агресією Російської Федерації проти України припинена робота з аналізу фактичного забезпечення спортивними спорудами населення за місцем проживання та у місцях масового відпочинку, а також вивчення питання щодо їх доступності, відповідності соціальним стандартам та потребам громади.</w:t>
            </w:r>
          </w:p>
          <w:p w14:paraId="6370005B" w14:textId="140C4F09" w:rsidR="00F232AB" w:rsidRPr="00F232AB" w:rsidRDefault="00F232AB" w:rsidP="00F23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Водночас у 2020 році відкрито 8 об'єктів-"магнітів" та у 2021 році було відкрито </w:t>
            </w:r>
            <w:r w:rsidR="00DA6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об'єктів-"магнітів".</w:t>
            </w:r>
          </w:p>
          <w:p w14:paraId="5ACA80CB" w14:textId="4BB64AEB" w:rsidR="00F232AB" w:rsidRPr="00F232AB" w:rsidRDefault="00F232AB" w:rsidP="00F23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кошти ДФРР профінансовано у 2020 році - 125 спортивних об'єктів, у 2021 році - </w:t>
            </w:r>
            <w:r w:rsidR="00DA6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 спортивних об'єктів.</w:t>
            </w:r>
          </w:p>
          <w:p w14:paraId="25BBCE81" w14:textId="77777777" w:rsidR="00F232AB" w:rsidRPr="00F232AB" w:rsidRDefault="00F232AB" w:rsidP="00F23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 2022 році планувалось завершити будівництво (через військовий стан не завершено) 6 спортивних об'єктів, у таких областях, як: Хмельницька, Дніпропетровській, Рівненській, Сумській, Черкаській, Тернопільській.</w:t>
            </w:r>
          </w:p>
          <w:p w14:paraId="2E272D12" w14:textId="30EDEDC7" w:rsidR="00F232AB" w:rsidRPr="00E47CFD" w:rsidRDefault="00F232AB" w:rsidP="00F23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Також в наслідок військової агресії рф проти України вже зруйновано 320 спортивних об’єкти на суму близько 250 млн дол США.</w:t>
            </w:r>
          </w:p>
        </w:tc>
      </w:tr>
      <w:tr w:rsidR="00F232AB" w:rsidRPr="0083045B" w14:paraId="0E4A3176" w14:textId="77777777" w:rsidTr="00A53B1C">
        <w:trPr>
          <w:trHeight w:val="78"/>
        </w:trPr>
        <w:tc>
          <w:tcPr>
            <w:tcW w:w="633" w:type="dxa"/>
            <w:vMerge/>
          </w:tcPr>
          <w:p w14:paraId="19219407" w14:textId="091CCD0C" w:rsidR="00F232AB" w:rsidRPr="0083045B" w:rsidRDefault="00F232AB" w:rsidP="001E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vMerge/>
          </w:tcPr>
          <w:p w14:paraId="38387E8D" w14:textId="77777777" w:rsidR="00F232AB" w:rsidRPr="0083045B" w:rsidRDefault="00F232AB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7F7306" w14:textId="77777777" w:rsidR="00F232AB" w:rsidRDefault="00F232AB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4">
              <w:rPr>
                <w:rFonts w:ascii="Times New Roman" w:hAnsi="Times New Roman" w:cs="Times New Roman"/>
                <w:sz w:val="24"/>
                <w:szCs w:val="24"/>
              </w:rPr>
              <w:t>2) збір достовірної інформації про доступність об’єктів фізичного оточення, встановлення вимог до публічних закладів щодо</w:t>
            </w:r>
          </w:p>
          <w:p w14:paraId="6A5BAEED" w14:textId="672A0464" w:rsidR="00F232AB" w:rsidRPr="00B37284" w:rsidRDefault="00F232AB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інформування про наявні умови доступності їх будівель і приміщень</w:t>
            </w:r>
          </w:p>
        </w:tc>
        <w:tc>
          <w:tcPr>
            <w:tcW w:w="4961" w:type="dxa"/>
            <w:vMerge/>
          </w:tcPr>
          <w:p w14:paraId="5A52B3C8" w14:textId="6FC95790" w:rsidR="00F232AB" w:rsidRPr="00B37284" w:rsidRDefault="00F232AB" w:rsidP="003950D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32AB" w:rsidRPr="0083045B" w14:paraId="5892E34B" w14:textId="77777777" w:rsidTr="00A53B1C">
        <w:trPr>
          <w:trHeight w:val="78"/>
        </w:trPr>
        <w:tc>
          <w:tcPr>
            <w:tcW w:w="633" w:type="dxa"/>
            <w:vMerge/>
          </w:tcPr>
          <w:p w14:paraId="764B352A" w14:textId="77777777" w:rsidR="00F232AB" w:rsidRPr="0083045B" w:rsidRDefault="00F232A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vMerge/>
          </w:tcPr>
          <w:p w14:paraId="3E438CC3" w14:textId="77777777" w:rsidR="00F232AB" w:rsidRPr="0083045B" w:rsidRDefault="00F232AB" w:rsidP="00D3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7BDC19" w14:textId="1C0EEC34" w:rsidR="00F232AB" w:rsidRPr="00B37284" w:rsidRDefault="00F232AB" w:rsidP="00D3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4">
              <w:rPr>
                <w:rFonts w:ascii="Times New Roman" w:hAnsi="Times New Roman" w:cs="Times New Roman"/>
                <w:sz w:val="24"/>
                <w:szCs w:val="24"/>
              </w:rPr>
              <w:t>3) поширення достовірної інформації про доступність об’єктів фізичного оточення серед маломобільних груп населення, включаючи осіб з інвалідністю</w:t>
            </w:r>
          </w:p>
        </w:tc>
        <w:tc>
          <w:tcPr>
            <w:tcW w:w="4961" w:type="dxa"/>
            <w:vMerge/>
          </w:tcPr>
          <w:p w14:paraId="6AB77AF4" w14:textId="1A31257A" w:rsidR="00F232AB" w:rsidRPr="00B37284" w:rsidRDefault="00F232AB" w:rsidP="00B372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DC5" w:rsidRPr="0083045B" w14:paraId="083DE9DC" w14:textId="245394C2" w:rsidTr="00A53B1C">
        <w:tc>
          <w:tcPr>
            <w:tcW w:w="633" w:type="dxa"/>
            <w:tcBorders>
              <w:top w:val="single" w:sz="4" w:space="0" w:color="auto"/>
            </w:tcBorders>
          </w:tcPr>
          <w:p w14:paraId="0B8BBA1C" w14:textId="0AA2B890" w:rsidR="00322DC5" w:rsidRPr="0083045B" w:rsidRDefault="00322DC5" w:rsidP="00C4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67" w:type="dxa"/>
            <w:tcBorders>
              <w:top w:val="single" w:sz="4" w:space="0" w:color="auto"/>
            </w:tcBorders>
          </w:tcPr>
          <w:p w14:paraId="402FA915" w14:textId="2651CF24" w:rsidR="00322DC5" w:rsidRPr="00E47CFD" w:rsidRDefault="00322DC5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безперешкодного доступу осіб з інвалідністю та інших маломобільних груп населення до спортивних споруд, що побудовані в 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A6F733B" w14:textId="6A8BB3AB" w:rsidR="00322DC5" w:rsidRPr="00E47CFD" w:rsidRDefault="00322DC5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перевірки дотримання вимог щодо доступності спортивних споруд для представників маломобільних груп населення, включаючи осіб з інвалідністю (за винятком територіальних громад, розташованих у районах проведення воєнних (бойових) дій, або які перебувають у тимчасовій окупації, оточенні (блокуванні)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8363ECA" w14:textId="664D6419" w:rsidR="00F232AB" w:rsidRPr="00F232AB" w:rsidRDefault="00F232AB" w:rsidP="00F23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имчасово не виконується</w:t>
            </w:r>
            <w:r w:rsidR="00DA6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2022 році</w:t>
            </w: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413A0BB" w14:textId="77777777" w:rsidR="00F232AB" w:rsidRPr="00F232AB" w:rsidRDefault="00F232AB" w:rsidP="00F23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09EC24" w14:textId="753C69A6" w:rsidR="00F232AB" w:rsidRPr="00F232AB" w:rsidRDefault="00F232AB" w:rsidP="00F23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Відповідно до Указу Президента України «Про введення воєнного стану», затвердженого Законом України від 24.02.2022 № 2102-IX у зв’язку з військовою агресією Російської Федерації проти України та секвестром бюджету постановою Кабінету Міністрів України від 10.03.2022 № 256 </w:t>
            </w:r>
            <w:r w:rsidR="00DA6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 спрямування коштів до резервного фонду державного бюджету»</w:t>
            </w:r>
            <w:r w:rsidR="00DA6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будівництво нових спортивних  об'єктів з дотриманням вимог щодо доступності спортивних споруд для осіб з інвалідністю та інших маломобільних груп населення не відбувається.</w:t>
            </w:r>
          </w:p>
          <w:p w14:paraId="47B5027C" w14:textId="77777777" w:rsidR="00F232AB" w:rsidRPr="00F232AB" w:rsidRDefault="00F232AB" w:rsidP="00F23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2D2DFC" w14:textId="77777777" w:rsidR="00F232AB" w:rsidRPr="00F232AB" w:rsidRDefault="00F232AB" w:rsidP="00F23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Водночас, під час будівництва приміщень та споруд спортивної інфраструктури реалізується комплекс архітектурно-планувальних, інженерно-технічних, ергономічних, конструкційних і організаційних заходів, що відповідають </w:t>
            </w: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вимогам державних будівельних норм (ДБН В.2.2-13-2003 «Спортивні та фізкультурно-оздоровчі споруди» та ДБН В.2.2-40:2018 «Інклюзивність будівель і споруд. Основні положення»), стандартам і правилам щодо забезпечення доступності осіб з інвалідністю.</w:t>
            </w:r>
          </w:p>
          <w:p w14:paraId="16B75F80" w14:textId="4E4DF205" w:rsidR="00322DC5" w:rsidRPr="00E47CFD" w:rsidRDefault="00F232AB" w:rsidP="00F23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Також, однією з умов надання субвенції з державного бюджету місцевим бюджетам на розвиток спортивної інфраструктури - дотримання вимог державних будівельних норм та державних стандартів з доступності та безбар’єрності при будівництві нових та реконструкції існуючих об’єктів спортивної інфраструктури (постанова Кабінету Міністрів України від 17 березня 2021 р. </w:t>
            </w:r>
            <w:r w:rsidR="00DA6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Pr="00F23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226 «Про затвердження Порядку та умов надання у 2021 році субвенції з державного бюджету місцевим бюджетам на розвиток спортивної інфраструктури»). Проекти відповідно до цієї субвенції тимчасово не реалізовуються з об'єктивних причин.</w:t>
            </w:r>
          </w:p>
        </w:tc>
      </w:tr>
      <w:tr w:rsidR="00322DC5" w:rsidRPr="0083045B" w14:paraId="6F8E390D" w14:textId="77777777" w:rsidTr="00A53B1C">
        <w:tc>
          <w:tcPr>
            <w:tcW w:w="633" w:type="dxa"/>
            <w:vMerge w:val="restart"/>
            <w:tcBorders>
              <w:top w:val="single" w:sz="4" w:space="0" w:color="auto"/>
            </w:tcBorders>
          </w:tcPr>
          <w:p w14:paraId="54F005A6" w14:textId="4F81688A" w:rsidR="00322DC5" w:rsidRPr="0083045B" w:rsidRDefault="00322DC5" w:rsidP="00C4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67" w:type="dxa"/>
            <w:vMerge w:val="restart"/>
            <w:tcBorders>
              <w:top w:val="single" w:sz="4" w:space="0" w:color="auto"/>
            </w:tcBorders>
          </w:tcPr>
          <w:p w14:paraId="17159018" w14:textId="7A22498A" w:rsidR="00322DC5" w:rsidRPr="0083045B" w:rsidRDefault="00322DC5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4">
              <w:rPr>
                <w:rFonts w:ascii="Times New Roman" w:hAnsi="Times New Roman" w:cs="Times New Roman"/>
                <w:sz w:val="24"/>
                <w:szCs w:val="24"/>
              </w:rPr>
              <w:t>8. Забезпечення функціонування закладів фізичної культури та спорту для всіх верств населення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1459394" w14:textId="2D6E33C5" w:rsidR="00322DC5" w:rsidRPr="00B37284" w:rsidRDefault="00322DC5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4">
              <w:rPr>
                <w:rFonts w:ascii="Times New Roman" w:hAnsi="Times New Roman" w:cs="Times New Roman"/>
                <w:sz w:val="24"/>
                <w:szCs w:val="24"/>
              </w:rPr>
              <w:t>1) здійснення в місцях масового відпочинку загальнодоступних спортивних заходів із залученням всіх верств населення, зокрема забезпечення організаційної підтримки та координації діяльності регіональних центрів фізичного здоров’я населення “Спорт для всіх”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79881FE" w14:textId="69FBB7D8" w:rsidR="00DA6674" w:rsidRDefault="00DA6674" w:rsidP="00B3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Виконано.</w:t>
            </w:r>
          </w:p>
          <w:p w14:paraId="6AD28BC1" w14:textId="1F4A7C8A" w:rsidR="00322DC5" w:rsidRPr="003A7D6A" w:rsidRDefault="00322DC5" w:rsidP="00B3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284">
              <w:rPr>
                <w:rFonts w:ascii="Times New Roman" w:hAnsi="Times New Roman" w:cs="Times New Roman"/>
                <w:sz w:val="24"/>
                <w:szCs w:val="24"/>
              </w:rPr>
              <w:t>бласними центрами фізичного здоров’я населення</w:t>
            </w:r>
            <w:r w:rsidR="0018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284">
              <w:rPr>
                <w:rFonts w:ascii="Times New Roman" w:hAnsi="Times New Roman" w:cs="Times New Roman"/>
                <w:sz w:val="24"/>
                <w:szCs w:val="24"/>
              </w:rPr>
              <w:t>"Спорт для всіх" (далі – Всеукраїнський центр) за IV квартал 2022 року</w:t>
            </w:r>
            <w:r w:rsidR="00E636C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, Київськ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, Кіровоградськ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, Полтавськ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, Чернівецьк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4855D0" w14:textId="5A932A09" w:rsidR="00322DC5" w:rsidRPr="003A7D6A" w:rsidRDefault="00322DC5" w:rsidP="00B3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Вінницьк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, Рівненськ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, Житомирськ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, Закарпатськ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, Івано-Франківськ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10D937" w14:textId="20B7218D" w:rsidR="00322DC5" w:rsidRPr="00B37284" w:rsidRDefault="00322DC5" w:rsidP="00B3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Одеськ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, Тернопільськ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, Хмельницьк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, Львівськ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, Черкаськ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</w:t>
            </w:r>
          </w:p>
          <w:p w14:paraId="4AA3B1FD" w14:textId="6517262A" w:rsidR="00322DC5" w:rsidRPr="00B37284" w:rsidRDefault="00322DC5" w:rsidP="00B3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1268 заходів, </w:t>
            </w:r>
            <w:r w:rsidR="00E636C4">
              <w:rPr>
                <w:rFonts w:ascii="Times New Roman" w:hAnsi="Times New Roman" w:cs="Times New Roman"/>
                <w:sz w:val="24"/>
                <w:szCs w:val="24"/>
              </w:rPr>
              <w:t xml:space="preserve">за участю </w:t>
            </w:r>
            <w:r w:rsidRPr="00B37284">
              <w:rPr>
                <w:rFonts w:ascii="Times New Roman" w:hAnsi="Times New Roman" w:cs="Times New Roman"/>
                <w:sz w:val="24"/>
                <w:szCs w:val="24"/>
              </w:rPr>
              <w:t xml:space="preserve">47913 </w:t>
            </w:r>
            <w:r w:rsidR="00E636C4">
              <w:rPr>
                <w:rFonts w:ascii="Times New Roman" w:hAnsi="Times New Roman" w:cs="Times New Roman"/>
                <w:sz w:val="24"/>
                <w:szCs w:val="24"/>
              </w:rPr>
              <w:t xml:space="preserve">осіб, </w:t>
            </w:r>
            <w:r w:rsidRPr="00B37284">
              <w:rPr>
                <w:rFonts w:ascii="Times New Roman" w:hAnsi="Times New Roman" w:cs="Times New Roman"/>
                <w:sz w:val="24"/>
                <w:szCs w:val="24"/>
              </w:rPr>
              <w:t xml:space="preserve">з них </w:t>
            </w:r>
            <w:r w:rsidR="00DA6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 xml:space="preserve">1384 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E636C4" w:rsidRPr="003A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3A7D6A" w:rsidRPr="003A7D6A">
              <w:rPr>
                <w:rFonts w:ascii="Times New Roman" w:hAnsi="Times New Roman" w:cs="Times New Roman"/>
                <w:sz w:val="24"/>
                <w:szCs w:val="24"/>
              </w:rPr>
              <w:t>оби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3B6AB5" w14:textId="7B52FBA8" w:rsidR="00322DC5" w:rsidRPr="003950D0" w:rsidRDefault="00322DC5" w:rsidP="003A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4">
              <w:rPr>
                <w:rFonts w:ascii="Times New Roman" w:hAnsi="Times New Roman" w:cs="Times New Roman"/>
                <w:sz w:val="24"/>
                <w:szCs w:val="24"/>
              </w:rPr>
              <w:t>Всеукраїнським центром проведено 1 онлайн нараду</w:t>
            </w:r>
            <w:r w:rsidR="003A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284">
              <w:rPr>
                <w:rFonts w:ascii="Times New Roman" w:hAnsi="Times New Roman" w:cs="Times New Roman"/>
                <w:sz w:val="24"/>
                <w:szCs w:val="24"/>
              </w:rPr>
              <w:t xml:space="preserve">(23.11.2022), залучення всіх верств населення </w:t>
            </w:r>
            <w:r w:rsidR="003A7D6A">
              <w:rPr>
                <w:rFonts w:ascii="Times New Roman" w:hAnsi="Times New Roman" w:cs="Times New Roman"/>
                <w:sz w:val="24"/>
                <w:szCs w:val="24"/>
              </w:rPr>
              <w:t xml:space="preserve">з регіональними відділеннями щодо залучення всіх верств населення до </w:t>
            </w:r>
            <w:r w:rsidRPr="00B37284">
              <w:rPr>
                <w:rFonts w:ascii="Times New Roman" w:hAnsi="Times New Roman" w:cs="Times New Roman"/>
                <w:sz w:val="24"/>
                <w:szCs w:val="24"/>
              </w:rPr>
              <w:t>регулярних занять фізичною культурою, демонстрацію видів спорту і</w:t>
            </w:r>
            <w:r w:rsidR="003A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284">
              <w:rPr>
                <w:rFonts w:ascii="Times New Roman" w:hAnsi="Times New Roman" w:cs="Times New Roman"/>
                <w:sz w:val="24"/>
                <w:szCs w:val="24"/>
              </w:rPr>
              <w:t>спортивних активностей в умовах воєнного стану.</w:t>
            </w:r>
          </w:p>
        </w:tc>
      </w:tr>
      <w:tr w:rsidR="00322DC5" w:rsidRPr="0083045B" w14:paraId="1B529C48" w14:textId="77777777" w:rsidTr="00A53B1C">
        <w:tc>
          <w:tcPr>
            <w:tcW w:w="633" w:type="dxa"/>
            <w:vMerge/>
          </w:tcPr>
          <w:p w14:paraId="62055100" w14:textId="77777777" w:rsidR="00322DC5" w:rsidRPr="0083045B" w:rsidRDefault="00322DC5" w:rsidP="00C4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7" w:type="dxa"/>
            <w:vMerge/>
          </w:tcPr>
          <w:p w14:paraId="010151EF" w14:textId="77777777" w:rsidR="00322DC5" w:rsidRPr="0083045B" w:rsidRDefault="00322DC5" w:rsidP="009C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AB0E4A4" w14:textId="6BC8BBEF" w:rsidR="00322DC5" w:rsidRPr="00B37284" w:rsidRDefault="00322DC5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4">
              <w:rPr>
                <w:rFonts w:ascii="Times New Roman" w:hAnsi="Times New Roman" w:cs="Times New Roman"/>
                <w:sz w:val="24"/>
                <w:szCs w:val="24"/>
              </w:rPr>
              <w:t>2) здійснення заходів з фізичної культури і спорту для осіб з інвалідністю та інших маломобільних груп населення і фізкультурно-спортивної реабілітації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47D2AD4" w14:textId="79280285" w:rsidR="00DA6674" w:rsidRDefault="00DA6674" w:rsidP="00B3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Виконано.</w:t>
            </w:r>
          </w:p>
          <w:p w14:paraId="23BA6BAF" w14:textId="4F2834C4" w:rsidR="00322DC5" w:rsidRDefault="003A7D6A" w:rsidP="00B37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2DC5" w:rsidRPr="00B37284">
              <w:rPr>
                <w:rFonts w:ascii="Times New Roman" w:hAnsi="Times New Roman" w:cs="Times New Roman"/>
                <w:sz w:val="24"/>
                <w:szCs w:val="24"/>
              </w:rPr>
              <w:t xml:space="preserve"> ІV кварталі 2022 року на базі Західного реабілітаційно-спортивного центру Національного комітету спорту інвалідів України (с. Яворів  Турківський район Львівської області) Укрцентром  «Інваспорт» було організовано та проведено  </w:t>
            </w:r>
            <w:r w:rsidR="00DA6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322DC5" w:rsidRPr="00B37284">
              <w:rPr>
                <w:rFonts w:ascii="Times New Roman" w:hAnsi="Times New Roman" w:cs="Times New Roman"/>
                <w:sz w:val="24"/>
                <w:szCs w:val="24"/>
              </w:rPr>
              <w:t>2 реабілітаційно-спортивних зборів, у яких взяло участь 57 осіб, з яких 42 особи з інвалідністю.</w:t>
            </w:r>
          </w:p>
          <w:p w14:paraId="57200372" w14:textId="5CB4EDEF" w:rsidR="003A7D6A" w:rsidRPr="003A7D6A" w:rsidRDefault="003A7D6A" w:rsidP="003A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гідно з 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диним 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алендарним 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ланом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проведено:</w:t>
            </w:r>
          </w:p>
          <w:p w14:paraId="0231110C" w14:textId="1437B653" w:rsidR="003A7D6A" w:rsidRPr="003A7D6A" w:rsidRDefault="003A7D6A" w:rsidP="003A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 xml:space="preserve">  - 70 навчально-тренувальних зборів за кордоном, з яких 3 - з підготовки до ХХІV літніх Дефлімпійських ігор-2021 з боулінгу в м Куала-Лумпур (Малайзія), 6 - з підготовки до ХХ зимових Дефлімпійських ігор 2023 року, 61 – з підготовки до міжнародних спортивних змагань;</w:t>
            </w:r>
          </w:p>
          <w:p w14:paraId="2F67AAAA" w14:textId="491F1724" w:rsidR="003A7D6A" w:rsidRPr="003A7D6A" w:rsidRDefault="003A7D6A" w:rsidP="003A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 xml:space="preserve">  - 73 навчально-тренувальних зборів в Україні, серед яких  67 – з підготовки до міжнародних спортивних змагань, </w:t>
            </w:r>
            <w:r w:rsidR="00F51A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</w:t>
            </w:r>
            <w:r w:rsidR="00F5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з підготовки до участі у ХХ зимових  Дефлімпійських іграх 2023 року;</w:t>
            </w:r>
          </w:p>
          <w:p w14:paraId="370B032B" w14:textId="77777777" w:rsidR="003A7D6A" w:rsidRPr="003A7D6A" w:rsidRDefault="003A7D6A" w:rsidP="003A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 xml:space="preserve">   - 14 всеукраїнських спортивних змагань серед осіб з інвалідністю різних нозологій.</w:t>
            </w:r>
          </w:p>
          <w:p w14:paraId="1E630537" w14:textId="287F137F" w:rsidR="003A7D6A" w:rsidRDefault="003A7D6A" w:rsidP="003A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абезпечено участь національних збірних команд України з видів спорту осіб з інвалідністю у 25 міжнародних спортивних змаганнях, у тому числі у ХХІV літніх Дефлімпійських іграх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 xml:space="preserve">2021 з боулінгу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 xml:space="preserve"> Куала-Лумпур (Малайзія), 10 чемпіонатах світу,  3 чемпіонатах Європи, 3 Кубках світу, 2 Кубках Європи, 6 міжнародних турнірах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401E80" w14:textId="647524B0" w:rsidR="003A7D6A" w:rsidRPr="003950D0" w:rsidRDefault="003A7D6A" w:rsidP="001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країнські спортсмени з інвалідністю здобули 149 нагород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 xml:space="preserve">50 золотих, 48 срібних та </w:t>
            </w:r>
            <w:r w:rsidR="00DA6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A7D6A">
              <w:rPr>
                <w:rFonts w:ascii="Times New Roman" w:hAnsi="Times New Roman" w:cs="Times New Roman"/>
                <w:sz w:val="24"/>
                <w:szCs w:val="24"/>
              </w:rPr>
              <w:t>51 бронзову.</w:t>
            </w:r>
          </w:p>
        </w:tc>
      </w:tr>
      <w:tr w:rsidR="00322DC5" w:rsidRPr="0083045B" w14:paraId="41C0110E" w14:textId="57CECA24" w:rsidTr="00A53B1C">
        <w:tc>
          <w:tcPr>
            <w:tcW w:w="633" w:type="dxa"/>
          </w:tcPr>
          <w:p w14:paraId="2960562A" w14:textId="7EE993D5" w:rsidR="00322DC5" w:rsidRPr="0083045B" w:rsidRDefault="00322DC5" w:rsidP="00C4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67" w:type="dxa"/>
          </w:tcPr>
          <w:p w14:paraId="78DFC4F5" w14:textId="2C01C77A" w:rsidR="00322DC5" w:rsidRPr="00E47CFD" w:rsidRDefault="00322DC5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збору і поширення достовірної інформації про доступність об’єктів фізичного оточення, а також встановлення вимог до публічних закладів щодо інформування про наявні умови доступності їх будівель і приміщень</w:t>
            </w:r>
            <w:r w:rsidRPr="00E4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6FD65C20" w14:textId="0F1DBE01" w:rsidR="00322DC5" w:rsidRPr="0083045B" w:rsidRDefault="00322DC5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2) висвітлення на офіційних веб-сайтах та сторінках соціальних мереж актуальної інформації про стан доступності для осіб з інвалідністю та інших маломобільних груп населення спортивних об’єктів під час проведення навчально-тренувальних занять, а також спортивних заходів</w:t>
            </w:r>
          </w:p>
        </w:tc>
        <w:tc>
          <w:tcPr>
            <w:tcW w:w="4961" w:type="dxa"/>
          </w:tcPr>
          <w:p w14:paraId="02E6578A" w14:textId="4603F781" w:rsidR="00DA6674" w:rsidRDefault="00DA6674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Виконано.</w:t>
            </w:r>
          </w:p>
          <w:p w14:paraId="4F853E96" w14:textId="7D0D50EC" w:rsidR="00322DC5" w:rsidRPr="00162797" w:rsidRDefault="00322DC5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97">
              <w:rPr>
                <w:rFonts w:ascii="Times New Roman" w:hAnsi="Times New Roman" w:cs="Times New Roman"/>
                <w:sz w:val="24"/>
                <w:szCs w:val="24"/>
              </w:rPr>
              <w:t>На офіційному вебсайті Мінмолодьспорту створено розділ «Безбар'єрний простір», де розміщені відповідні нормативно-правові акти та інформація щодо стану доступності для осіб з інвалідністю та інших маломобільних груп населення до об'єктів інфраструктури при проведенні спортивних, молодіжних та інших заходів.</w:t>
            </w:r>
          </w:p>
          <w:p w14:paraId="4AA84CB7" w14:textId="45BEE5CC" w:rsidR="00322DC5" w:rsidRPr="0083045B" w:rsidRDefault="00322DC5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97">
              <w:rPr>
                <w:rFonts w:ascii="Times New Roman" w:hAnsi="Times New Roman" w:cs="Times New Roman"/>
                <w:sz w:val="24"/>
                <w:szCs w:val="24"/>
              </w:rPr>
              <w:t>Відповідна актуальна інформація також розміщується на офіційному вебсайті Мінмолодьспорту в рубриці «Новини».</w:t>
            </w:r>
          </w:p>
        </w:tc>
      </w:tr>
      <w:tr w:rsidR="00E636C4" w:rsidRPr="0083045B" w14:paraId="059B1047" w14:textId="77777777" w:rsidTr="00A53B1C">
        <w:tc>
          <w:tcPr>
            <w:tcW w:w="633" w:type="dxa"/>
          </w:tcPr>
          <w:p w14:paraId="63EDC8D1" w14:textId="690EC8C4" w:rsidR="00E636C4" w:rsidRDefault="00E636C4" w:rsidP="00C4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7" w:type="dxa"/>
          </w:tcPr>
          <w:p w14:paraId="1BE29FBD" w14:textId="77777777" w:rsidR="00E636C4" w:rsidRDefault="00E636C4" w:rsidP="00E6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BB">
              <w:rPr>
                <w:rFonts w:ascii="Times New Roman" w:hAnsi="Times New Roman" w:cs="Times New Roman"/>
                <w:sz w:val="24"/>
                <w:szCs w:val="24"/>
              </w:rPr>
              <w:t>46. Реалізація інклюзивних програм молодіжних центрів (заходів) з урахуванням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принципу доступності</w:t>
            </w:r>
          </w:p>
          <w:p w14:paraId="343DDA5C" w14:textId="77777777" w:rsidR="00E636C4" w:rsidRPr="0083045B" w:rsidRDefault="00E636C4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3EECC7F" w14:textId="33F4E91F" w:rsidR="00E636C4" w:rsidRPr="0083045B" w:rsidRDefault="00E636C4" w:rsidP="00A5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BB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послуг на базі молодіжних просторів для підтримки та вирішення ключових проблем осіб, які постраждали внаслідок збройної </w:t>
            </w:r>
            <w:r w:rsidRPr="0055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агресії Російської Федерації проти України, у тому числі осіб з інвалідністю, батьків із дітьми, із особливим акцентом на молодь</w:t>
            </w:r>
          </w:p>
        </w:tc>
        <w:tc>
          <w:tcPr>
            <w:tcW w:w="4961" w:type="dxa"/>
          </w:tcPr>
          <w:p w14:paraId="6AA62143" w14:textId="4D780020" w:rsidR="00DA6674" w:rsidRDefault="00DA6674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Виконано.</w:t>
            </w:r>
          </w:p>
          <w:p w14:paraId="0DC9BCCC" w14:textId="43996381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Одним із методів пілотування послуг молодіжних центрів та просторів, що почали впроваджуватися в рамках диверсифікації послуг, обрано ініціативу для підтримки 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цивільного населення “СпівДія” (</w:t>
            </w:r>
            <w:hyperlink r:id="rId8" w:history="1">
              <w:r w:rsidR="00465153" w:rsidRPr="00C834C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https://spivdiia.org.ua/</w:t>
              </w:r>
            </w:hyperlink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51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Для взаємодії між органами влади, громадським сектором та цивільним населенням</w:t>
            </w:r>
            <w:r w:rsidR="006B5922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а базі молодіжних центрів та просторів, які розвиває Мінмолодьспорт, створено СпівДія хаби для волонтерської допомоги тисячам українців, постраждалим від війни. Наразі працює </w:t>
            </w:r>
            <w:r w:rsidR="00DA6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 хаби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 регіон</w:t>
            </w:r>
            <w:r w:rsidR="00182A2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завдяки яким забезпечено:</w:t>
            </w:r>
          </w:p>
          <w:p w14:paraId="0F5C9A6E" w14:textId="77777777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1) доступ до базових послуг підтримки цивільного населення через Співдія хаби в різних регіонах України, зокрема: видачі гуманітарних ресурсів (продуктових та гігієнічних наборів), а також створено можливість ділитися ресурсами для допомоги цивільному населенню.</w:t>
            </w:r>
          </w:p>
          <w:p w14:paraId="6E9D29E7" w14:textId="527B8830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поданих та опрацьованих заявок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465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465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883B89" w14:textId="77777777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2) надання послуг психологічної підтримки:</w:t>
            </w:r>
          </w:p>
          <w:p w14:paraId="0560A993" w14:textId="5913E037" w:rsidR="00886E6A" w:rsidRPr="00886E6A" w:rsidRDefault="00465153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6E6A"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E6A">
              <w:rPr>
                <w:rFonts w:ascii="Times New Roman" w:hAnsi="Times New Roman" w:cs="Times New Roman"/>
                <w:sz w:val="24"/>
                <w:szCs w:val="24"/>
              </w:rPr>
              <w:t>21.04.2022 по 30.12.</w:t>
            </w:r>
            <w:r w:rsidR="00886E6A" w:rsidRPr="00886E6A">
              <w:rPr>
                <w:rFonts w:ascii="Times New Roman" w:hAnsi="Times New Roman" w:cs="Times New Roman"/>
                <w:sz w:val="24"/>
                <w:szCs w:val="24"/>
              </w:rPr>
              <w:t>2022 психологічну допомогу отримали</w:t>
            </w:r>
            <w:r w:rsidR="00886E6A">
              <w:rPr>
                <w:rFonts w:ascii="Times New Roman" w:hAnsi="Times New Roman" w:cs="Times New Roman"/>
                <w:sz w:val="24"/>
                <w:szCs w:val="24"/>
              </w:rPr>
              <w:t xml:space="preserve"> 8518 осіб;</w:t>
            </w:r>
          </w:p>
          <w:p w14:paraId="739CCE5F" w14:textId="1945AA55" w:rsidR="00886E6A" w:rsidRPr="00886E6A" w:rsidRDefault="00465153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6E6A">
              <w:rPr>
                <w:rFonts w:ascii="Times New Roman" w:hAnsi="Times New Roman" w:cs="Times New Roman"/>
                <w:sz w:val="24"/>
                <w:szCs w:val="24"/>
              </w:rPr>
              <w:t xml:space="preserve"> 15.12.2022 – 30.12.2022 проведено</w:t>
            </w:r>
            <w:r w:rsidR="006B5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86E6A">
              <w:rPr>
                <w:rFonts w:ascii="Times New Roman" w:hAnsi="Times New Roman" w:cs="Times New Roman"/>
                <w:sz w:val="24"/>
                <w:szCs w:val="24"/>
              </w:rPr>
              <w:t xml:space="preserve">253 </w:t>
            </w:r>
            <w:r w:rsidR="00886E6A" w:rsidRPr="00886E6A">
              <w:rPr>
                <w:rFonts w:ascii="Times New Roman" w:hAnsi="Times New Roman" w:cs="Times New Roman"/>
                <w:sz w:val="24"/>
                <w:szCs w:val="24"/>
              </w:rPr>
              <w:t>індивідуальних консультацій</w:t>
            </w:r>
            <w:r w:rsidR="00886E6A">
              <w:rPr>
                <w:rFonts w:ascii="Times New Roman" w:hAnsi="Times New Roman" w:cs="Times New Roman"/>
                <w:sz w:val="24"/>
                <w:szCs w:val="24"/>
              </w:rPr>
              <w:t xml:space="preserve">, групових </w:t>
            </w:r>
            <w:r w:rsidR="00886E6A"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консультацій </w:t>
            </w:r>
            <w:r w:rsidR="00886E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6E6A"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 513</w:t>
            </w:r>
            <w:r w:rsidR="00886E6A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886E6A"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 них - 101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внутрішньо-переміщених осіб (ВПО);</w:t>
            </w:r>
          </w:p>
          <w:p w14:paraId="39377EAD" w14:textId="21D28D35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3) надання послуг юридичної підтримки: надано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консультації, 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 для ВПО</w:t>
            </w:r>
            <w:r w:rsidR="006B5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DA31E1" w14:textId="20A449F6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4) послуг щодо доступу дітей до формальної та неформальної освіти (через роботу простору Співдія діти) 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(https://www.facebook.com/spivdiia.dity), а саме:</w:t>
            </w:r>
          </w:p>
          <w:p w14:paraId="10B84CAC" w14:textId="29D99F81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для підготовки до складання мультитесту Офіс Президента України за підтримки фонду ЮНІСЕФ, команд благодійного фонду “СпівДія” та Мінмолодьспорту запустили в рамках проекту “СпівДія заради дітей ” напрям «Мультитест? Будь the best!», який передбачає можливість безкоштовної підготовки абітурієнтів (зокрема дітей з числа ВПО) до Національного “трикомпонентного” мультипредметного тесту.</w:t>
            </w:r>
          </w:p>
          <w:p w14:paraId="0962245A" w14:textId="77777777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3736" w14:textId="77777777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Результати Співдія мультитест:</w:t>
            </w:r>
          </w:p>
          <w:p w14:paraId="413E0056" w14:textId="6F342D3E" w:rsidR="00886E6A" w:rsidRPr="00886E6A" w:rsidRDefault="006B5922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E6A" w:rsidRPr="00886E6A">
              <w:rPr>
                <w:rFonts w:ascii="Times New Roman" w:hAnsi="Times New Roman" w:cs="Times New Roman"/>
                <w:sz w:val="24"/>
                <w:szCs w:val="24"/>
              </w:rPr>
              <w:t>унікальних користувачів послуги в онлайн навчанні;</w:t>
            </w:r>
          </w:p>
          <w:p w14:paraId="45311FC9" w14:textId="3FB8968A" w:rsidR="00886E6A" w:rsidRPr="00886E6A" w:rsidRDefault="006B5922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396 </w:t>
            </w:r>
            <w:r w:rsidR="00886E6A" w:rsidRPr="00886E6A">
              <w:rPr>
                <w:rFonts w:ascii="Times New Roman" w:hAnsi="Times New Roman" w:cs="Times New Roman"/>
                <w:sz w:val="24"/>
                <w:szCs w:val="24"/>
              </w:rPr>
              <w:t>унікальних користувачів послуги в офлайн навчанні;</w:t>
            </w:r>
          </w:p>
          <w:p w14:paraId="1084ACD4" w14:textId="77777777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Запуск просторів СпівДія заради дітей - це безпечний простір на базі молодіжних центрів, де дитина отримує психоемоційну підтримку через програму неформальної освіти: творчі заняття, рухливу та пізнавальну діяльність, взаємодію з іншими дітьми та дорослими.</w:t>
            </w:r>
          </w:p>
          <w:p w14:paraId="53697581" w14:textId="77777777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У рамках роботи проєкту Співдія заради дітей:</w:t>
            </w:r>
          </w:p>
          <w:p w14:paraId="0FCDBE2B" w14:textId="77777777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5251A" w14:textId="5BA64D21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організовано 24 мобільних групи волонтерів, які працюють з дітьми;</w:t>
            </w:r>
          </w:p>
          <w:p w14:paraId="145AC141" w14:textId="28CF0470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залучено 150 освітян - волонтерів до роботи з дітьми;</w:t>
            </w:r>
          </w:p>
          <w:p w14:paraId="41403F97" w14:textId="3E4C322F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неформальні заняття (пізнавальні заняття, творчі майстерні, спортивні ігри, квести та інше)  для більше ніж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38633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 дітей, 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6B5922">
              <w:rPr>
                <w:rFonts w:ascii="Times New Roman" w:hAnsi="Times New Roman" w:cs="Times New Roman"/>
                <w:sz w:val="24"/>
                <w:szCs w:val="24"/>
              </w:rPr>
              <w:t xml:space="preserve"> - ВПО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DC6133" w14:textId="6E0123DA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5) також запущено послугу СпівДія підприємці для підтримки малого бізнесу. </w:t>
            </w:r>
            <w:r w:rsidR="006B59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>олодь, що має бізнес, може податися на грант до 2 тис. євро з метою його підтримки, розвитку та відновлення</w:t>
            </w:r>
            <w:r w:rsidR="006B5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799D7785" w14:textId="3CC95B94" w:rsidR="00886E6A" w:rsidRPr="00886E6A" w:rsidRDefault="00886E6A" w:rsidP="0088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6) впроваджено напрям роботи кар’єрних консультантів на базі молодіжних центрів у Хмельницькому, Рівному, Львові, Чернівцях, Полтаві, Черкасах, Одесі, Тернополі, Івано-Франківську, Луцьку.        </w:t>
            </w:r>
          </w:p>
          <w:p w14:paraId="3B27EC25" w14:textId="0E59F82B" w:rsidR="00886E6A" w:rsidRPr="003A7D6A" w:rsidRDefault="00886E6A" w:rsidP="0009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30.12.2022</w:t>
            </w:r>
            <w:r w:rsidRPr="00886E6A">
              <w:rPr>
                <w:rFonts w:ascii="Times New Roman" w:hAnsi="Times New Roman" w:cs="Times New Roman"/>
                <w:sz w:val="24"/>
                <w:szCs w:val="24"/>
              </w:rPr>
              <w:t xml:space="preserve"> подано 1079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421305E" w14:textId="27D35852" w:rsidR="00E67DE6" w:rsidRPr="0083045B" w:rsidRDefault="00E67DE6" w:rsidP="00E67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002E6" w14:textId="396A3120" w:rsidR="0081450C" w:rsidRPr="00E67DE6" w:rsidRDefault="0081450C" w:rsidP="00E67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</w:t>
      </w:r>
    </w:p>
    <w:sectPr w:rsidR="0081450C" w:rsidRPr="00E67DE6" w:rsidSect="00A53B1C">
      <w:headerReference w:type="default" r:id="rId9"/>
      <w:pgSz w:w="16838" w:h="11906" w:orient="landscape"/>
      <w:pgMar w:top="851" w:right="850" w:bottom="127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C7D8" w14:textId="77777777" w:rsidR="00774F89" w:rsidRDefault="00774F89" w:rsidP="001D4762">
      <w:pPr>
        <w:spacing w:after="0" w:line="240" w:lineRule="auto"/>
      </w:pPr>
      <w:r>
        <w:separator/>
      </w:r>
    </w:p>
  </w:endnote>
  <w:endnote w:type="continuationSeparator" w:id="0">
    <w:p w14:paraId="4F31C30C" w14:textId="77777777" w:rsidR="00774F89" w:rsidRDefault="00774F89" w:rsidP="001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9236" w14:textId="77777777" w:rsidR="00774F89" w:rsidRDefault="00774F89" w:rsidP="001D4762">
      <w:pPr>
        <w:spacing w:after="0" w:line="240" w:lineRule="auto"/>
      </w:pPr>
      <w:r>
        <w:separator/>
      </w:r>
    </w:p>
  </w:footnote>
  <w:footnote w:type="continuationSeparator" w:id="0">
    <w:p w14:paraId="1C1429F5" w14:textId="77777777" w:rsidR="00774F89" w:rsidRDefault="00774F89" w:rsidP="001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397446"/>
      <w:docPartObj>
        <w:docPartGallery w:val="Page Numbers (Top of Page)"/>
        <w:docPartUnique/>
      </w:docPartObj>
    </w:sdtPr>
    <w:sdtContent>
      <w:p w14:paraId="1A4DB55C" w14:textId="76472AC7" w:rsidR="001D4762" w:rsidRDefault="001D47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6FB6E2" w14:textId="77777777" w:rsidR="001D4762" w:rsidRDefault="001D47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2831"/>
    <w:multiLevelType w:val="hybridMultilevel"/>
    <w:tmpl w:val="7BD4F690"/>
    <w:lvl w:ilvl="0" w:tplc="AAC4D1D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D63979"/>
    <w:multiLevelType w:val="hybridMultilevel"/>
    <w:tmpl w:val="3B3A9DDE"/>
    <w:lvl w:ilvl="0" w:tplc="AAC4D1D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6867"/>
    <w:multiLevelType w:val="hybridMultilevel"/>
    <w:tmpl w:val="6930B002"/>
    <w:lvl w:ilvl="0" w:tplc="7BB8AD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F2812"/>
    <w:multiLevelType w:val="hybridMultilevel"/>
    <w:tmpl w:val="F74A93EC"/>
    <w:lvl w:ilvl="0" w:tplc="B68499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743423">
    <w:abstractNumId w:val="2"/>
  </w:num>
  <w:num w:numId="2" w16cid:durableId="1258252142">
    <w:abstractNumId w:val="3"/>
  </w:num>
  <w:num w:numId="3" w16cid:durableId="1419710880">
    <w:abstractNumId w:val="0"/>
  </w:num>
  <w:num w:numId="4" w16cid:durableId="148150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6"/>
    <w:rsid w:val="000362A0"/>
    <w:rsid w:val="0005110D"/>
    <w:rsid w:val="00057F09"/>
    <w:rsid w:val="00062035"/>
    <w:rsid w:val="0006766C"/>
    <w:rsid w:val="000774B9"/>
    <w:rsid w:val="000905B1"/>
    <w:rsid w:val="000C5346"/>
    <w:rsid w:val="000D00CE"/>
    <w:rsid w:val="001066F6"/>
    <w:rsid w:val="001108BA"/>
    <w:rsid w:val="00116ABC"/>
    <w:rsid w:val="00117EAF"/>
    <w:rsid w:val="00162797"/>
    <w:rsid w:val="0017153F"/>
    <w:rsid w:val="00182A17"/>
    <w:rsid w:val="00182A29"/>
    <w:rsid w:val="001B2986"/>
    <w:rsid w:val="001B6FCC"/>
    <w:rsid w:val="001D4762"/>
    <w:rsid w:val="001E6693"/>
    <w:rsid w:val="001E76DA"/>
    <w:rsid w:val="001F0664"/>
    <w:rsid w:val="00204126"/>
    <w:rsid w:val="002205D2"/>
    <w:rsid w:val="002461ED"/>
    <w:rsid w:val="002C4784"/>
    <w:rsid w:val="002D72C7"/>
    <w:rsid w:val="002F077D"/>
    <w:rsid w:val="003128A2"/>
    <w:rsid w:val="00314D44"/>
    <w:rsid w:val="00322DC5"/>
    <w:rsid w:val="00342123"/>
    <w:rsid w:val="00367FC9"/>
    <w:rsid w:val="00385356"/>
    <w:rsid w:val="003931CC"/>
    <w:rsid w:val="003950D0"/>
    <w:rsid w:val="003A3D59"/>
    <w:rsid w:val="003A62AA"/>
    <w:rsid w:val="003A7D6A"/>
    <w:rsid w:val="003D5CF4"/>
    <w:rsid w:val="004612A5"/>
    <w:rsid w:val="00465153"/>
    <w:rsid w:val="00477D2D"/>
    <w:rsid w:val="0048619D"/>
    <w:rsid w:val="004B515B"/>
    <w:rsid w:val="004D1A55"/>
    <w:rsid w:val="004D36A4"/>
    <w:rsid w:val="004E36C6"/>
    <w:rsid w:val="004F39ED"/>
    <w:rsid w:val="004F6EA9"/>
    <w:rsid w:val="00521699"/>
    <w:rsid w:val="0054449C"/>
    <w:rsid w:val="005455BA"/>
    <w:rsid w:val="005547BB"/>
    <w:rsid w:val="005B60E7"/>
    <w:rsid w:val="005C1D32"/>
    <w:rsid w:val="0061389C"/>
    <w:rsid w:val="00615BE2"/>
    <w:rsid w:val="006B5922"/>
    <w:rsid w:val="006B7A38"/>
    <w:rsid w:val="006D42E9"/>
    <w:rsid w:val="007026C3"/>
    <w:rsid w:val="0071528A"/>
    <w:rsid w:val="0072248F"/>
    <w:rsid w:val="00734A4F"/>
    <w:rsid w:val="00742506"/>
    <w:rsid w:val="00743A55"/>
    <w:rsid w:val="007524E7"/>
    <w:rsid w:val="0075685C"/>
    <w:rsid w:val="00763627"/>
    <w:rsid w:val="00774F89"/>
    <w:rsid w:val="007D144C"/>
    <w:rsid w:val="00801CD0"/>
    <w:rsid w:val="00810EB1"/>
    <w:rsid w:val="0081450C"/>
    <w:rsid w:val="00823EE2"/>
    <w:rsid w:val="0083045B"/>
    <w:rsid w:val="00843890"/>
    <w:rsid w:val="00886E6A"/>
    <w:rsid w:val="008C2181"/>
    <w:rsid w:val="008D7C4E"/>
    <w:rsid w:val="008E00A7"/>
    <w:rsid w:val="00903C18"/>
    <w:rsid w:val="0091678D"/>
    <w:rsid w:val="00925140"/>
    <w:rsid w:val="00926A96"/>
    <w:rsid w:val="00937DAA"/>
    <w:rsid w:val="0097729B"/>
    <w:rsid w:val="009A4234"/>
    <w:rsid w:val="009C21C2"/>
    <w:rsid w:val="00A270AF"/>
    <w:rsid w:val="00A35687"/>
    <w:rsid w:val="00A53B1C"/>
    <w:rsid w:val="00A7172C"/>
    <w:rsid w:val="00A7427A"/>
    <w:rsid w:val="00AA1F21"/>
    <w:rsid w:val="00AC608E"/>
    <w:rsid w:val="00AC63DC"/>
    <w:rsid w:val="00AE6FE9"/>
    <w:rsid w:val="00AE782D"/>
    <w:rsid w:val="00AF144F"/>
    <w:rsid w:val="00B179EB"/>
    <w:rsid w:val="00B37284"/>
    <w:rsid w:val="00B523D2"/>
    <w:rsid w:val="00BB3C56"/>
    <w:rsid w:val="00C16102"/>
    <w:rsid w:val="00C3705A"/>
    <w:rsid w:val="00C4349B"/>
    <w:rsid w:val="00C52B68"/>
    <w:rsid w:val="00C67092"/>
    <w:rsid w:val="00C9053E"/>
    <w:rsid w:val="00CE7BB3"/>
    <w:rsid w:val="00D10D97"/>
    <w:rsid w:val="00D2085F"/>
    <w:rsid w:val="00D220E9"/>
    <w:rsid w:val="00D321E2"/>
    <w:rsid w:val="00D563D5"/>
    <w:rsid w:val="00D70E56"/>
    <w:rsid w:val="00D7647F"/>
    <w:rsid w:val="00DA6674"/>
    <w:rsid w:val="00DC4917"/>
    <w:rsid w:val="00DE6567"/>
    <w:rsid w:val="00E30FF9"/>
    <w:rsid w:val="00E40AD2"/>
    <w:rsid w:val="00E47CFD"/>
    <w:rsid w:val="00E636C4"/>
    <w:rsid w:val="00E65914"/>
    <w:rsid w:val="00E67DE6"/>
    <w:rsid w:val="00E76923"/>
    <w:rsid w:val="00E94D07"/>
    <w:rsid w:val="00EC3ADB"/>
    <w:rsid w:val="00EC68E9"/>
    <w:rsid w:val="00ED31BE"/>
    <w:rsid w:val="00ED47E1"/>
    <w:rsid w:val="00EE2038"/>
    <w:rsid w:val="00F06F43"/>
    <w:rsid w:val="00F13DA8"/>
    <w:rsid w:val="00F232AB"/>
    <w:rsid w:val="00F45EE5"/>
    <w:rsid w:val="00F462B5"/>
    <w:rsid w:val="00F51AD6"/>
    <w:rsid w:val="00F839E5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24F8"/>
  <w15:docId w15:val="{F15FAD7D-70D7-4D6B-A4E0-2C3FC01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6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47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D4762"/>
  </w:style>
  <w:style w:type="paragraph" w:styleId="a7">
    <w:name w:val="footer"/>
    <w:basedOn w:val="a"/>
    <w:link w:val="a8"/>
    <w:uiPriority w:val="99"/>
    <w:unhideWhenUsed/>
    <w:rsid w:val="001D47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D4762"/>
  </w:style>
  <w:style w:type="character" w:styleId="a9">
    <w:name w:val="Hyperlink"/>
    <w:basedOn w:val="a0"/>
    <w:uiPriority w:val="99"/>
    <w:unhideWhenUsed/>
    <w:rsid w:val="0046515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65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vdiia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41D0-4DDE-4FC1-BBB2-B8A48FFB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7456</Words>
  <Characters>4251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Талія Мевлединівна</dc:creator>
  <cp:keywords/>
  <dc:description/>
  <cp:lastModifiedBy>Жарова Талія Мевлединівна</cp:lastModifiedBy>
  <cp:revision>16</cp:revision>
  <cp:lastPrinted>2023-01-09T13:43:00Z</cp:lastPrinted>
  <dcterms:created xsi:type="dcterms:W3CDTF">2022-10-20T06:36:00Z</dcterms:created>
  <dcterms:modified xsi:type="dcterms:W3CDTF">2023-01-10T08:02:00Z</dcterms:modified>
</cp:coreProperties>
</file>